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11C0F" w14:textId="0AF19A87" w:rsidR="00DC1553" w:rsidRDefault="00DC1553" w:rsidP="00DC1553">
      <w:pPr>
        <w:jc w:val="center"/>
        <w:rPr>
          <w:rFonts w:ascii="Calibri" w:hAnsi="Calibri" w:cs="Calibri"/>
          <w:b/>
          <w:bCs/>
        </w:rPr>
      </w:pPr>
      <w:r>
        <w:rPr>
          <w:rFonts w:ascii="Calibri" w:hAnsi="Calibri" w:cs="Calibri"/>
          <w:b/>
          <w:bCs/>
          <w:noProof/>
        </w:rPr>
        <w:drawing>
          <wp:inline distT="0" distB="0" distL="0" distR="0" wp14:anchorId="0F21E7D8" wp14:editId="1599CC04">
            <wp:extent cx="1327110" cy="709930"/>
            <wp:effectExtent l="0" t="0" r="6985" b="0"/>
            <wp:docPr id="2115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5374" name="Picture 211583537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44117" cy="719028"/>
                    </a:xfrm>
                    <a:prstGeom prst="rect">
                      <a:avLst/>
                    </a:prstGeom>
                  </pic:spPr>
                </pic:pic>
              </a:graphicData>
            </a:graphic>
          </wp:inline>
        </w:drawing>
      </w:r>
      <w:r>
        <w:rPr>
          <w:rFonts w:ascii="Calibri" w:hAnsi="Calibri" w:cs="Calibri"/>
          <w:b/>
          <w:bCs/>
          <w:noProof/>
        </w:rPr>
        <w:drawing>
          <wp:inline distT="0" distB="0" distL="0" distR="0" wp14:anchorId="5E840A12" wp14:editId="0A83502D">
            <wp:extent cx="857177" cy="768350"/>
            <wp:effectExtent l="0" t="0" r="635" b="0"/>
            <wp:docPr id="9207635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63580" name="Picture 920763580"/>
                    <pic:cNvPicPr/>
                  </pic:nvPicPr>
                  <pic:blipFill>
                    <a:blip r:embed="rId7">
                      <a:extLst>
                        <a:ext uri="{28A0092B-C50C-407E-A947-70E740481C1C}">
                          <a14:useLocalDpi xmlns:a14="http://schemas.microsoft.com/office/drawing/2010/main" val="0"/>
                        </a:ext>
                      </a:extLst>
                    </a:blip>
                    <a:stretch>
                      <a:fillRect/>
                    </a:stretch>
                  </pic:blipFill>
                  <pic:spPr>
                    <a:xfrm>
                      <a:off x="0" y="0"/>
                      <a:ext cx="866118" cy="776364"/>
                    </a:xfrm>
                    <a:prstGeom prst="rect">
                      <a:avLst/>
                    </a:prstGeom>
                  </pic:spPr>
                </pic:pic>
              </a:graphicData>
            </a:graphic>
          </wp:inline>
        </w:drawing>
      </w:r>
      <w:r>
        <w:rPr>
          <w:rFonts w:ascii="Calibri" w:hAnsi="Calibri" w:cs="Calibri"/>
          <w:b/>
          <w:bCs/>
          <w:noProof/>
        </w:rPr>
        <w:drawing>
          <wp:inline distT="0" distB="0" distL="0" distR="0" wp14:anchorId="7599F398" wp14:editId="2E230642">
            <wp:extent cx="628015" cy="628015"/>
            <wp:effectExtent l="0" t="0" r="635" b="635"/>
            <wp:docPr id="12663351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015" cy="628015"/>
                    </a:xfrm>
                    <a:prstGeom prst="rect">
                      <a:avLst/>
                    </a:prstGeom>
                    <a:noFill/>
                  </pic:spPr>
                </pic:pic>
              </a:graphicData>
            </a:graphic>
          </wp:inline>
        </w:drawing>
      </w:r>
      <w:r>
        <w:rPr>
          <w:rFonts w:ascii="Calibri" w:hAnsi="Calibri" w:cs="Calibri"/>
          <w:b/>
          <w:bCs/>
          <w:noProof/>
        </w:rPr>
        <w:drawing>
          <wp:inline distT="0" distB="0" distL="0" distR="0" wp14:anchorId="6FDD140A" wp14:editId="3F09F757">
            <wp:extent cx="1905000" cy="400050"/>
            <wp:effectExtent l="0" t="0" r="0" b="0"/>
            <wp:docPr id="4547411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741123" name="Graphic 454741123"/>
                    <pic:cNvPicPr/>
                  </pic:nvPicPr>
                  <pic:blipFill>
                    <a:blip r:embed="rId9">
                      <a:extLst>
                        <a:ext uri="{96DAC541-7B7A-43D3-8B79-37D633B846F1}">
                          <asvg:svgBlip xmlns:asvg="http://schemas.microsoft.com/office/drawing/2016/SVG/main" r:embed="rId10"/>
                        </a:ext>
                      </a:extLst>
                    </a:blip>
                    <a:stretch>
                      <a:fillRect/>
                    </a:stretch>
                  </pic:blipFill>
                  <pic:spPr>
                    <a:xfrm>
                      <a:off x="0" y="0"/>
                      <a:ext cx="1905000" cy="400050"/>
                    </a:xfrm>
                    <a:prstGeom prst="rect">
                      <a:avLst/>
                    </a:prstGeom>
                  </pic:spPr>
                </pic:pic>
              </a:graphicData>
            </a:graphic>
          </wp:inline>
        </w:drawing>
      </w:r>
      <w:r>
        <w:rPr>
          <w:rFonts w:ascii="Calibri" w:hAnsi="Calibri" w:cs="Calibri"/>
          <w:b/>
          <w:bCs/>
          <w:noProof/>
        </w:rPr>
        <w:drawing>
          <wp:inline distT="0" distB="0" distL="0" distR="0" wp14:anchorId="2CC3F458" wp14:editId="356C44D7">
            <wp:extent cx="1135697" cy="259703"/>
            <wp:effectExtent l="0" t="0" r="0" b="7620"/>
            <wp:docPr id="11422399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239974" name="Picture 11422399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3274" cy="266009"/>
                    </a:xfrm>
                    <a:prstGeom prst="rect">
                      <a:avLst/>
                    </a:prstGeom>
                  </pic:spPr>
                </pic:pic>
              </a:graphicData>
            </a:graphic>
          </wp:inline>
        </w:drawing>
      </w:r>
      <w:r>
        <w:rPr>
          <w:rFonts w:ascii="Calibri" w:hAnsi="Calibri" w:cs="Calibri"/>
          <w:b/>
          <w:bCs/>
          <w:noProof/>
        </w:rPr>
        <w:drawing>
          <wp:inline distT="0" distB="0" distL="0" distR="0" wp14:anchorId="585E23EE" wp14:editId="40D1385E">
            <wp:extent cx="1548862" cy="350881"/>
            <wp:effectExtent l="0" t="0" r="0" b="0"/>
            <wp:docPr id="6794249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04697" cy="363530"/>
                    </a:xfrm>
                    <a:prstGeom prst="rect">
                      <a:avLst/>
                    </a:prstGeom>
                    <a:noFill/>
                  </pic:spPr>
                </pic:pic>
              </a:graphicData>
            </a:graphic>
          </wp:inline>
        </w:drawing>
      </w:r>
      <w:r w:rsidRPr="00DC1553">
        <w:rPr>
          <w:rFonts w:ascii="Calibri" w:hAnsi="Calibri" w:cs="Calibri"/>
          <w:b/>
          <w:bCs/>
        </w:rPr>
        <w:drawing>
          <wp:inline distT="0" distB="0" distL="0" distR="0" wp14:anchorId="71C1EE01" wp14:editId="01A30B31">
            <wp:extent cx="1704975" cy="356321"/>
            <wp:effectExtent l="0" t="0" r="0" b="5715"/>
            <wp:docPr id="1812933927" name="Picture 1" descr="Advancing Environmental Rights in South Afric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933927" name="Picture 1" descr="Advancing Environmental Rights in South Africa.&#10;&#10;AI-generated content may be incorrect."/>
                    <pic:cNvPicPr/>
                  </pic:nvPicPr>
                  <pic:blipFill>
                    <a:blip r:embed="rId13"/>
                    <a:stretch>
                      <a:fillRect/>
                    </a:stretch>
                  </pic:blipFill>
                  <pic:spPr>
                    <a:xfrm>
                      <a:off x="0" y="0"/>
                      <a:ext cx="1726268" cy="360771"/>
                    </a:xfrm>
                    <a:prstGeom prst="rect">
                      <a:avLst/>
                    </a:prstGeom>
                  </pic:spPr>
                </pic:pic>
              </a:graphicData>
            </a:graphic>
          </wp:inline>
        </w:drawing>
      </w:r>
    </w:p>
    <w:p w14:paraId="72E4AED6" w14:textId="77777777" w:rsidR="00DC1553" w:rsidRDefault="00DC1553" w:rsidP="00DC1553">
      <w:pPr>
        <w:jc w:val="center"/>
        <w:rPr>
          <w:rFonts w:ascii="Calibri" w:hAnsi="Calibri" w:cs="Calibri"/>
          <w:b/>
          <w:bCs/>
        </w:rPr>
      </w:pPr>
    </w:p>
    <w:p w14:paraId="5A7725B3" w14:textId="0D0E266C" w:rsidR="002119EB" w:rsidRPr="002119EB" w:rsidRDefault="002119EB" w:rsidP="00DC1553">
      <w:pPr>
        <w:jc w:val="center"/>
        <w:rPr>
          <w:rFonts w:ascii="Calibri" w:hAnsi="Calibri" w:cs="Calibri"/>
          <w:b/>
          <w:bCs/>
        </w:rPr>
      </w:pPr>
      <w:r w:rsidRPr="002119EB">
        <w:rPr>
          <w:rFonts w:ascii="Calibri" w:hAnsi="Calibri" w:cs="Calibri"/>
          <w:b/>
          <w:bCs/>
        </w:rPr>
        <w:t>MEDIA STATEMENT</w:t>
      </w:r>
    </w:p>
    <w:p w14:paraId="27EE2B6E" w14:textId="77777777" w:rsidR="002119EB" w:rsidRPr="002119EB" w:rsidRDefault="002119EB" w:rsidP="00DC1553">
      <w:pPr>
        <w:jc w:val="center"/>
        <w:rPr>
          <w:rFonts w:ascii="Calibri" w:hAnsi="Calibri" w:cs="Calibri"/>
          <w:b/>
          <w:bCs/>
        </w:rPr>
      </w:pPr>
      <w:r w:rsidRPr="002119EB">
        <w:rPr>
          <w:rFonts w:ascii="Calibri" w:hAnsi="Calibri" w:cs="Calibri"/>
          <w:b/>
          <w:bCs/>
        </w:rPr>
        <w:t>100 YEAR DEBT CAMPAIGN COALITION TO PUT MINING ACCOUNTABILITY, CORPORATE EXIT AND COMMUNITY ABANDONMENT BEFORE PARLIAMENT</w:t>
      </w:r>
    </w:p>
    <w:p w14:paraId="7704E7E9" w14:textId="77777777" w:rsidR="002119EB" w:rsidRPr="002119EB" w:rsidRDefault="002119EB" w:rsidP="002119EB">
      <w:pPr>
        <w:rPr>
          <w:rFonts w:ascii="Calibri" w:hAnsi="Calibri" w:cs="Calibri"/>
          <w:b/>
          <w:bCs/>
        </w:rPr>
      </w:pPr>
      <w:r w:rsidRPr="002119EB">
        <w:rPr>
          <w:rFonts w:ascii="Calibri" w:hAnsi="Calibri" w:cs="Calibri"/>
          <w:b/>
          <w:bCs/>
        </w:rPr>
        <w:t>Communities, civil society, environmental and legal organisations will appear together before Parliament to demand an inquiry into the accumulated social, labour, environmental and economic debt of mining</w:t>
      </w:r>
    </w:p>
    <w:p w14:paraId="1241C464" w14:textId="77777777" w:rsidR="002119EB" w:rsidRPr="002119EB" w:rsidRDefault="002119EB" w:rsidP="002119EB">
      <w:pPr>
        <w:rPr>
          <w:rFonts w:ascii="Calibri" w:hAnsi="Calibri" w:cs="Calibri"/>
        </w:rPr>
      </w:pPr>
      <w:r w:rsidRPr="002119EB">
        <w:rPr>
          <w:rFonts w:ascii="Calibri" w:hAnsi="Calibri" w:cs="Calibri"/>
          <w:b/>
          <w:bCs/>
        </w:rPr>
        <w:t>24 August 2026</w:t>
      </w:r>
    </w:p>
    <w:p w14:paraId="0017F5CA" w14:textId="77777777" w:rsidR="002119EB" w:rsidRPr="002119EB" w:rsidRDefault="002119EB" w:rsidP="002119EB">
      <w:pPr>
        <w:rPr>
          <w:rFonts w:ascii="Calibri" w:hAnsi="Calibri" w:cs="Calibri"/>
        </w:rPr>
      </w:pPr>
      <w:r w:rsidRPr="002119EB">
        <w:rPr>
          <w:rFonts w:ascii="Calibri" w:hAnsi="Calibri" w:cs="Calibri"/>
        </w:rPr>
        <w:t xml:space="preserve">Members and partners of the </w:t>
      </w:r>
      <w:r w:rsidRPr="002119EB">
        <w:rPr>
          <w:rFonts w:ascii="Calibri" w:hAnsi="Calibri" w:cs="Calibri"/>
          <w:b/>
          <w:bCs/>
        </w:rPr>
        <w:t>100 Year Debt Campaign</w:t>
      </w:r>
      <w:r w:rsidRPr="002119EB">
        <w:rPr>
          <w:rFonts w:ascii="Calibri" w:hAnsi="Calibri" w:cs="Calibri"/>
        </w:rPr>
        <w:t xml:space="preserve">, led by </w:t>
      </w:r>
      <w:r w:rsidRPr="002119EB">
        <w:rPr>
          <w:rFonts w:ascii="Calibri" w:hAnsi="Calibri" w:cs="Calibri"/>
          <w:b/>
          <w:bCs/>
        </w:rPr>
        <w:t>Mining Affected Communities United in Action (MACUA)</w:t>
      </w:r>
      <w:r w:rsidRPr="002119EB">
        <w:rPr>
          <w:rFonts w:ascii="Calibri" w:hAnsi="Calibri" w:cs="Calibri"/>
        </w:rPr>
        <w:t xml:space="preserve"> and </w:t>
      </w:r>
      <w:r w:rsidRPr="002119EB">
        <w:rPr>
          <w:rFonts w:ascii="Calibri" w:hAnsi="Calibri" w:cs="Calibri"/>
          <w:b/>
          <w:bCs/>
        </w:rPr>
        <w:t>Women Affected by Mining United in Action (WAMUA)</w:t>
      </w:r>
      <w:r w:rsidRPr="002119EB">
        <w:rPr>
          <w:rFonts w:ascii="Calibri" w:hAnsi="Calibri" w:cs="Calibri"/>
        </w:rPr>
        <w:t xml:space="preserve">, met this morning to finalise the strategy for our presentation to Parliament’s Portfolio Committee on Mineral and Petroleum Resources on </w:t>
      </w:r>
      <w:r w:rsidRPr="002119EB">
        <w:rPr>
          <w:rFonts w:ascii="Calibri" w:hAnsi="Calibri" w:cs="Calibri"/>
          <w:b/>
          <w:bCs/>
        </w:rPr>
        <w:t>Tuesday, 25 August 2026.</w:t>
      </w:r>
    </w:p>
    <w:p w14:paraId="43E5143A" w14:textId="77777777" w:rsidR="002119EB" w:rsidRDefault="002119EB" w:rsidP="002119EB">
      <w:pPr>
        <w:rPr>
          <w:rFonts w:ascii="Calibri" w:hAnsi="Calibri" w:cs="Calibri"/>
        </w:rPr>
      </w:pPr>
      <w:r w:rsidRPr="002119EB">
        <w:rPr>
          <w:rFonts w:ascii="Calibri" w:hAnsi="Calibri" w:cs="Calibri"/>
        </w:rPr>
        <w:t xml:space="preserve">Participants in the coalition planning meeting included representatives from </w:t>
      </w:r>
      <w:r w:rsidRPr="002119EB">
        <w:rPr>
          <w:rFonts w:ascii="Calibri" w:hAnsi="Calibri" w:cs="Calibri"/>
          <w:b/>
          <w:bCs/>
        </w:rPr>
        <w:t xml:space="preserve">MACUA/WAMUA, the </w:t>
      </w:r>
      <w:proofErr w:type="gramStart"/>
      <w:r w:rsidRPr="002119EB">
        <w:rPr>
          <w:rFonts w:ascii="Calibri" w:hAnsi="Calibri" w:cs="Calibri"/>
          <w:b/>
          <w:bCs/>
        </w:rPr>
        <w:t>Bench Marks</w:t>
      </w:r>
      <w:proofErr w:type="gramEnd"/>
      <w:r w:rsidRPr="002119EB">
        <w:rPr>
          <w:rFonts w:ascii="Calibri" w:hAnsi="Calibri" w:cs="Calibri"/>
          <w:b/>
          <w:bCs/>
        </w:rPr>
        <w:t xml:space="preserve"> Foundation</w:t>
      </w:r>
      <w:r>
        <w:rPr>
          <w:rFonts w:ascii="Calibri" w:hAnsi="Calibri" w:cs="Calibri"/>
          <w:b/>
          <w:bCs/>
        </w:rPr>
        <w:t xml:space="preserve"> (BMF)</w:t>
      </w:r>
      <w:r w:rsidRPr="002119EB">
        <w:rPr>
          <w:rFonts w:ascii="Calibri" w:hAnsi="Calibri" w:cs="Calibri"/>
          <w:b/>
          <w:bCs/>
        </w:rPr>
        <w:t>, the Centre for Environmental Rights</w:t>
      </w:r>
      <w:r>
        <w:rPr>
          <w:rFonts w:ascii="Calibri" w:hAnsi="Calibri" w:cs="Calibri"/>
          <w:b/>
          <w:bCs/>
        </w:rPr>
        <w:t xml:space="preserve"> (CER)</w:t>
      </w:r>
      <w:r w:rsidRPr="002119EB">
        <w:rPr>
          <w:rFonts w:ascii="Calibri" w:hAnsi="Calibri" w:cs="Calibri"/>
          <w:b/>
          <w:bCs/>
        </w:rPr>
        <w:t>, Just Share</w:t>
      </w:r>
      <w:r>
        <w:rPr>
          <w:rFonts w:ascii="Calibri" w:hAnsi="Calibri" w:cs="Calibri"/>
          <w:b/>
          <w:bCs/>
        </w:rPr>
        <w:t xml:space="preserve"> (JS)</w:t>
      </w:r>
      <w:r w:rsidRPr="002119EB">
        <w:rPr>
          <w:rFonts w:ascii="Calibri" w:hAnsi="Calibri" w:cs="Calibri"/>
          <w:b/>
          <w:bCs/>
        </w:rPr>
        <w:t>, All Rise</w:t>
      </w:r>
      <w:r>
        <w:rPr>
          <w:rFonts w:ascii="Calibri" w:hAnsi="Calibri" w:cs="Calibri"/>
          <w:b/>
          <w:bCs/>
        </w:rPr>
        <w:t xml:space="preserve"> </w:t>
      </w:r>
      <w:proofErr w:type="gramStart"/>
      <w:r>
        <w:rPr>
          <w:rFonts w:ascii="Calibri" w:hAnsi="Calibri" w:cs="Calibri"/>
          <w:b/>
          <w:bCs/>
        </w:rPr>
        <w:t xml:space="preserve">Attorneys </w:t>
      </w:r>
      <w:r w:rsidRPr="002119EB">
        <w:rPr>
          <w:rFonts w:ascii="Calibri" w:hAnsi="Calibri" w:cs="Calibri"/>
          <w:b/>
          <w:bCs/>
        </w:rPr>
        <w:t>,</w:t>
      </w:r>
      <w:proofErr w:type="gramEnd"/>
      <w:r w:rsidRPr="002119EB">
        <w:rPr>
          <w:rFonts w:ascii="Calibri" w:hAnsi="Calibri" w:cs="Calibri"/>
          <w:b/>
          <w:bCs/>
        </w:rPr>
        <w:t xml:space="preserve"> Henk Smith Attorneys</w:t>
      </w:r>
      <w:r w:rsidRPr="002119EB">
        <w:rPr>
          <w:rFonts w:ascii="Calibri" w:hAnsi="Calibri" w:cs="Calibri"/>
        </w:rPr>
        <w:t>,</w:t>
      </w:r>
      <w:r>
        <w:rPr>
          <w:rFonts w:ascii="Calibri" w:hAnsi="Calibri" w:cs="Calibri"/>
        </w:rPr>
        <w:t xml:space="preserve"> </w:t>
      </w:r>
      <w:r w:rsidRPr="002119EB">
        <w:rPr>
          <w:rFonts w:ascii="Calibri" w:hAnsi="Calibri" w:cs="Calibri"/>
          <w:b/>
          <w:bCs/>
        </w:rPr>
        <w:t>Lawyers for Human Rights (LHR)</w:t>
      </w:r>
      <w:r w:rsidRPr="002119EB">
        <w:rPr>
          <w:rFonts w:ascii="Calibri" w:hAnsi="Calibri" w:cs="Calibri"/>
        </w:rPr>
        <w:t xml:space="preserve"> and other legal and community representatives who have supported the campaign’s work. </w:t>
      </w:r>
    </w:p>
    <w:p w14:paraId="323D0879" w14:textId="0F133446" w:rsidR="002119EB" w:rsidRPr="002119EB" w:rsidRDefault="002119EB" w:rsidP="002119EB">
      <w:pPr>
        <w:rPr>
          <w:rFonts w:ascii="Calibri" w:hAnsi="Calibri" w:cs="Calibri"/>
        </w:rPr>
      </w:pPr>
      <w:r w:rsidRPr="002119EB">
        <w:rPr>
          <w:rFonts w:ascii="Calibri" w:hAnsi="Calibri" w:cs="Calibri"/>
        </w:rPr>
        <w:t xml:space="preserve">The meeting confirmed a common view that Tuesday’s engagement must not become another procedural exercise in which Parliament briefly hears communities and then moves </w:t>
      </w:r>
      <w:r w:rsidRPr="002119EB">
        <w:rPr>
          <w:rFonts w:ascii="Calibri" w:hAnsi="Calibri" w:cs="Calibri"/>
        </w:rPr>
        <w:t>on but</w:t>
      </w:r>
      <w:r w:rsidRPr="002119EB">
        <w:rPr>
          <w:rFonts w:ascii="Calibri" w:hAnsi="Calibri" w:cs="Calibri"/>
        </w:rPr>
        <w:t xml:space="preserve"> must instead result in a concrete accountability process capable of examining the full legacy and continuing consequences of more than a century of mineral extraction. </w:t>
      </w:r>
    </w:p>
    <w:p w14:paraId="36729494" w14:textId="77777777" w:rsidR="002119EB" w:rsidRDefault="002119EB" w:rsidP="002119EB">
      <w:pPr>
        <w:rPr>
          <w:rFonts w:ascii="Calibri" w:hAnsi="Calibri" w:cs="Calibri"/>
        </w:rPr>
      </w:pPr>
      <w:r w:rsidRPr="002119EB">
        <w:rPr>
          <w:rFonts w:ascii="Calibri" w:hAnsi="Calibri" w:cs="Calibri"/>
        </w:rPr>
        <w:t xml:space="preserve">After months in which the petition was repeatedly delayed, notwithstanding continued correspondence from MACUA/WAMUA and affected communities, the Portfolio Committee has now allocated a substantial part of Tuesday’s meeting to the 100 Year Debt Campaign. </w:t>
      </w:r>
    </w:p>
    <w:p w14:paraId="02F2DCEE" w14:textId="6CD14E99" w:rsidR="002119EB" w:rsidRPr="002119EB" w:rsidRDefault="002119EB" w:rsidP="002119EB">
      <w:pPr>
        <w:rPr>
          <w:rFonts w:ascii="Calibri" w:hAnsi="Calibri" w:cs="Calibri"/>
        </w:rPr>
      </w:pPr>
      <w:r w:rsidRPr="002119EB">
        <w:rPr>
          <w:rFonts w:ascii="Calibri" w:hAnsi="Calibri" w:cs="Calibri"/>
        </w:rPr>
        <w:t>We welcome that opportunity, even though it has come at extremely short notice, and we intend to use it to place before Parliament a proposition that is increasingly difficult to avoid:</w:t>
      </w:r>
      <w:r>
        <w:rPr>
          <w:rFonts w:ascii="Calibri" w:hAnsi="Calibri" w:cs="Calibri"/>
        </w:rPr>
        <w:t xml:space="preserve"> </w:t>
      </w:r>
      <w:r w:rsidRPr="002119EB">
        <w:rPr>
          <w:rFonts w:ascii="Calibri" w:hAnsi="Calibri" w:cs="Calibri"/>
          <w:b/>
          <w:bCs/>
        </w:rPr>
        <w:t>South Africa cannot continue to allow enormous private wealth to be extracted and accumulated through mining while the social, labour, environmental and economic costs of that extraction are repeatedly left behind for workers, communities and the State to carry.</w:t>
      </w:r>
    </w:p>
    <w:p w14:paraId="754C8806" w14:textId="77777777" w:rsidR="002119EB" w:rsidRDefault="002119EB" w:rsidP="002119EB">
      <w:pPr>
        <w:rPr>
          <w:rFonts w:ascii="Calibri" w:hAnsi="Calibri" w:cs="Calibri"/>
          <w:b/>
          <w:bCs/>
        </w:rPr>
      </w:pPr>
    </w:p>
    <w:p w14:paraId="3A123CE6" w14:textId="34C143A3" w:rsidR="002119EB" w:rsidRPr="002119EB" w:rsidRDefault="002119EB" w:rsidP="002119EB">
      <w:pPr>
        <w:rPr>
          <w:rFonts w:ascii="Calibri" w:hAnsi="Calibri" w:cs="Calibri"/>
          <w:b/>
          <w:bCs/>
        </w:rPr>
      </w:pPr>
      <w:r w:rsidRPr="002119EB">
        <w:rPr>
          <w:rFonts w:ascii="Calibri" w:hAnsi="Calibri" w:cs="Calibri"/>
          <w:b/>
          <w:bCs/>
        </w:rPr>
        <w:t>Anglo American is the face of a much bigger problem</w:t>
      </w:r>
    </w:p>
    <w:p w14:paraId="68B7245D" w14:textId="77777777" w:rsidR="002119EB" w:rsidRPr="002119EB" w:rsidRDefault="002119EB" w:rsidP="002119EB">
      <w:pPr>
        <w:rPr>
          <w:rFonts w:ascii="Calibri" w:hAnsi="Calibri" w:cs="Calibri"/>
        </w:rPr>
      </w:pPr>
      <w:r w:rsidRPr="002119EB">
        <w:rPr>
          <w:rFonts w:ascii="Calibri" w:hAnsi="Calibri" w:cs="Calibri"/>
        </w:rPr>
        <w:t xml:space="preserve">The coalition will place </w:t>
      </w:r>
      <w:r w:rsidRPr="002119EB">
        <w:rPr>
          <w:rFonts w:ascii="Calibri" w:hAnsi="Calibri" w:cs="Calibri"/>
          <w:b/>
          <w:bCs/>
        </w:rPr>
        <w:t>Anglo American</w:t>
      </w:r>
      <w:r w:rsidRPr="002119EB">
        <w:rPr>
          <w:rFonts w:ascii="Calibri" w:hAnsi="Calibri" w:cs="Calibri"/>
        </w:rPr>
        <w:t xml:space="preserve"> at the centre of Tuesday’s discussion, not because Anglo alone is responsible for every failure of South Africa’s mining system, but because few corporations are more deeply intertwined with the history of mineral accumulation in this country.</w:t>
      </w:r>
    </w:p>
    <w:p w14:paraId="54FAE857" w14:textId="77777777" w:rsidR="002119EB" w:rsidRPr="002119EB" w:rsidRDefault="002119EB" w:rsidP="002119EB">
      <w:pPr>
        <w:rPr>
          <w:rFonts w:ascii="Calibri" w:hAnsi="Calibri" w:cs="Calibri"/>
        </w:rPr>
      </w:pPr>
      <w:r w:rsidRPr="002119EB">
        <w:rPr>
          <w:rFonts w:ascii="Calibri" w:hAnsi="Calibri" w:cs="Calibri"/>
        </w:rPr>
        <w:t>Anglo’s growth spans the colonial, apartheid and democratic periods, and its history intersects with the racialised labour system, migrant labour, land dispossession, the accumulation of extraordinary corporate wealth and the development of mining regions in which profound poverty and inequality remain visible today.</w:t>
      </w:r>
    </w:p>
    <w:p w14:paraId="38B0224E" w14:textId="77777777" w:rsidR="002119EB" w:rsidRPr="002119EB" w:rsidRDefault="002119EB" w:rsidP="002119EB">
      <w:pPr>
        <w:rPr>
          <w:rFonts w:ascii="Calibri" w:hAnsi="Calibri" w:cs="Calibri"/>
        </w:rPr>
      </w:pPr>
      <w:r w:rsidRPr="002119EB">
        <w:rPr>
          <w:rFonts w:ascii="Calibri" w:hAnsi="Calibri" w:cs="Calibri"/>
        </w:rPr>
        <w:t xml:space="preserve">The proposed restructuring of Anglo through the </w:t>
      </w:r>
      <w:r w:rsidRPr="002119EB">
        <w:rPr>
          <w:rFonts w:ascii="Calibri" w:hAnsi="Calibri" w:cs="Calibri"/>
          <w:b/>
          <w:bCs/>
        </w:rPr>
        <w:t>Anglo–Teck transaction</w:t>
      </w:r>
      <w:r w:rsidRPr="002119EB">
        <w:rPr>
          <w:rFonts w:ascii="Calibri" w:hAnsi="Calibri" w:cs="Calibri"/>
        </w:rPr>
        <w:t xml:space="preserve"> therefore presents South Africa with an unusually important opportunity to ask what happens when a corporation that accumulated wealth from South African mineral resources over generations fundamentally reorganises its relationship with the country.</w:t>
      </w:r>
    </w:p>
    <w:p w14:paraId="5820D5DD" w14:textId="77777777" w:rsidR="002119EB" w:rsidRPr="002119EB" w:rsidRDefault="002119EB" w:rsidP="002119EB">
      <w:pPr>
        <w:rPr>
          <w:rFonts w:ascii="Calibri" w:hAnsi="Calibri" w:cs="Calibri"/>
        </w:rPr>
      </w:pPr>
      <w:r w:rsidRPr="002119EB">
        <w:rPr>
          <w:rFonts w:ascii="Calibri" w:hAnsi="Calibri" w:cs="Calibri"/>
        </w:rPr>
        <w:t>The Competition Commission has now confirmed to MACUA/WAMUA that the Anglo–Teck transaction does not meet the mandatory thresholds for merger notification in South Africa. Rather than directing criticism at the Commission for applying the law as it stands, the coalition believes this exposes a much deeper regulatory question:</w:t>
      </w:r>
    </w:p>
    <w:p w14:paraId="7EB95CB8" w14:textId="77777777" w:rsidR="002119EB" w:rsidRPr="002119EB" w:rsidRDefault="002119EB" w:rsidP="002119EB">
      <w:pPr>
        <w:rPr>
          <w:rFonts w:ascii="Calibri" w:hAnsi="Calibri" w:cs="Calibri"/>
        </w:rPr>
      </w:pPr>
      <w:r w:rsidRPr="002119EB">
        <w:rPr>
          <w:rFonts w:ascii="Calibri" w:hAnsi="Calibri" w:cs="Calibri"/>
          <w:b/>
          <w:bCs/>
        </w:rPr>
        <w:t>Which South African institution is responsible for undertaking a cumulative public-interest assessment of what happens to workers, communities, environmental liabilities and accumulated social obligations when a corporation of this historical significance restructures or moves capital elsewhere?</w:t>
      </w:r>
    </w:p>
    <w:p w14:paraId="2826EC17" w14:textId="77777777" w:rsidR="002119EB" w:rsidRPr="002119EB" w:rsidRDefault="002119EB" w:rsidP="002119EB">
      <w:pPr>
        <w:rPr>
          <w:rFonts w:ascii="Calibri" w:hAnsi="Calibri" w:cs="Calibri"/>
        </w:rPr>
      </w:pPr>
      <w:r w:rsidRPr="002119EB">
        <w:rPr>
          <w:rFonts w:ascii="Calibri" w:hAnsi="Calibri" w:cs="Calibri"/>
        </w:rPr>
        <w:t xml:space="preserve">Just Share, drawing on its experience of Anglo’s transfer of coal assets into </w:t>
      </w:r>
      <w:proofErr w:type="spellStart"/>
      <w:r w:rsidRPr="002119EB">
        <w:rPr>
          <w:rFonts w:ascii="Calibri" w:hAnsi="Calibri" w:cs="Calibri"/>
        </w:rPr>
        <w:t>Thungela</w:t>
      </w:r>
      <w:proofErr w:type="spellEnd"/>
      <w:r w:rsidRPr="002119EB">
        <w:rPr>
          <w:rFonts w:ascii="Calibri" w:hAnsi="Calibri" w:cs="Calibri"/>
        </w:rPr>
        <w:t xml:space="preserve"> and subsequent scrutiny of the liabilities attached to those assets, has expressed an important principle which the coalition believes should inform this discussion: </w:t>
      </w:r>
      <w:r w:rsidRPr="002119EB">
        <w:rPr>
          <w:rFonts w:ascii="Calibri" w:hAnsi="Calibri" w:cs="Calibri"/>
          <w:b/>
          <w:bCs/>
        </w:rPr>
        <w:t>value and responsibility must travel together</w:t>
      </w:r>
      <w:r w:rsidRPr="002119EB">
        <w:rPr>
          <w:rFonts w:ascii="Calibri" w:hAnsi="Calibri" w:cs="Calibri"/>
        </w:rPr>
        <w:t xml:space="preserve">. If corporations </w:t>
      </w:r>
      <w:proofErr w:type="gramStart"/>
      <w:r w:rsidRPr="002119EB">
        <w:rPr>
          <w:rFonts w:ascii="Calibri" w:hAnsi="Calibri" w:cs="Calibri"/>
        </w:rPr>
        <w:t>are able to</w:t>
      </w:r>
      <w:proofErr w:type="gramEnd"/>
      <w:r w:rsidRPr="002119EB">
        <w:rPr>
          <w:rFonts w:ascii="Calibri" w:hAnsi="Calibri" w:cs="Calibri"/>
        </w:rPr>
        <w:t xml:space="preserve"> extract or transfer the economic value associated with mining assets, the liabilities accumulated in producing that value must remain identifiable, adequately funded and enforceable against entities with the financial capacity to meet them. </w:t>
      </w:r>
    </w:p>
    <w:p w14:paraId="783C01E6" w14:textId="77777777" w:rsidR="002119EB" w:rsidRPr="002119EB" w:rsidRDefault="002119EB" w:rsidP="002119EB">
      <w:pPr>
        <w:rPr>
          <w:rFonts w:ascii="Calibri" w:hAnsi="Calibri" w:cs="Calibri"/>
          <w:b/>
          <w:bCs/>
        </w:rPr>
      </w:pPr>
      <w:r w:rsidRPr="002119EB">
        <w:rPr>
          <w:rFonts w:ascii="Calibri" w:hAnsi="Calibri" w:cs="Calibri"/>
          <w:b/>
          <w:bCs/>
        </w:rPr>
        <w:t>Communities must remain at the centre</w:t>
      </w:r>
    </w:p>
    <w:p w14:paraId="3121C2B3" w14:textId="77777777" w:rsidR="002119EB" w:rsidRPr="002119EB" w:rsidRDefault="002119EB" w:rsidP="002119EB">
      <w:pPr>
        <w:rPr>
          <w:rFonts w:ascii="Calibri" w:hAnsi="Calibri" w:cs="Calibri"/>
        </w:rPr>
      </w:pPr>
      <w:r w:rsidRPr="002119EB">
        <w:rPr>
          <w:rFonts w:ascii="Calibri" w:hAnsi="Calibri" w:cs="Calibri"/>
        </w:rPr>
        <w:t>The coalition agreed this morning that Tuesday’s engagement cannot be reduced to experts speaking about communities while communities themselves are relegated to the margins.</w:t>
      </w:r>
    </w:p>
    <w:p w14:paraId="77372776" w14:textId="200D2643" w:rsidR="002119EB" w:rsidRPr="002119EB" w:rsidRDefault="002119EB" w:rsidP="002119EB">
      <w:pPr>
        <w:rPr>
          <w:rFonts w:ascii="Calibri" w:hAnsi="Calibri" w:cs="Calibri"/>
        </w:rPr>
      </w:pPr>
      <w:r w:rsidRPr="002119EB">
        <w:rPr>
          <w:rFonts w:ascii="Calibri" w:hAnsi="Calibri" w:cs="Calibri"/>
        </w:rPr>
        <w:t xml:space="preserve">Representatives from </w:t>
      </w:r>
      <w:r w:rsidRPr="002119EB">
        <w:rPr>
          <w:rFonts w:ascii="Calibri" w:hAnsi="Calibri" w:cs="Calibri"/>
          <w:b/>
          <w:bCs/>
        </w:rPr>
        <w:t xml:space="preserve">Kriel and </w:t>
      </w:r>
      <w:proofErr w:type="spellStart"/>
      <w:r w:rsidRPr="002119EB">
        <w:rPr>
          <w:rFonts w:ascii="Calibri" w:hAnsi="Calibri" w:cs="Calibri"/>
          <w:b/>
          <w:bCs/>
        </w:rPr>
        <w:t>Jagersfontein</w:t>
      </w:r>
      <w:proofErr w:type="spellEnd"/>
      <w:r w:rsidRPr="002119EB">
        <w:rPr>
          <w:rFonts w:ascii="Calibri" w:hAnsi="Calibri" w:cs="Calibri"/>
        </w:rPr>
        <w:t xml:space="preserve"> will therefore be placed at the centre of the presentation because their experiences demonstrate what restructuring, closure and regulatory failure mean when corporate balance sheets have moved </w:t>
      </w:r>
      <w:r w:rsidRPr="002119EB">
        <w:rPr>
          <w:rFonts w:ascii="Calibri" w:hAnsi="Calibri" w:cs="Calibri"/>
        </w:rPr>
        <w:t>on,</w:t>
      </w:r>
      <w:r w:rsidRPr="002119EB">
        <w:rPr>
          <w:rFonts w:ascii="Calibri" w:hAnsi="Calibri" w:cs="Calibri"/>
        </w:rPr>
        <w:t xml:space="preserve"> but people cannot.</w:t>
      </w:r>
    </w:p>
    <w:p w14:paraId="19F1E34A" w14:textId="228B5F55" w:rsidR="002119EB" w:rsidRPr="002119EB" w:rsidRDefault="002119EB" w:rsidP="002119EB">
      <w:pPr>
        <w:rPr>
          <w:rFonts w:ascii="Calibri" w:hAnsi="Calibri" w:cs="Calibri"/>
        </w:rPr>
      </w:pPr>
      <w:r w:rsidRPr="002119EB">
        <w:rPr>
          <w:rFonts w:ascii="Calibri" w:hAnsi="Calibri" w:cs="Calibri"/>
        </w:rPr>
        <w:lastRenderedPageBreak/>
        <w:t xml:space="preserve">In </w:t>
      </w:r>
      <w:r w:rsidRPr="002119EB">
        <w:rPr>
          <w:rFonts w:ascii="Calibri" w:hAnsi="Calibri" w:cs="Calibri"/>
          <w:b/>
          <w:bCs/>
        </w:rPr>
        <w:t>Kriel</w:t>
      </w:r>
      <w:r w:rsidRPr="002119EB">
        <w:rPr>
          <w:rFonts w:ascii="Calibri" w:hAnsi="Calibri" w:cs="Calibri"/>
        </w:rPr>
        <w:t>, workers and families who lived in housing connected to former Anglo operations</w:t>
      </w:r>
      <w:r>
        <w:rPr>
          <w:rFonts w:ascii="Calibri" w:hAnsi="Calibri" w:cs="Calibri"/>
        </w:rPr>
        <w:t>, experience homelessness as one of</w:t>
      </w:r>
      <w:r w:rsidRPr="002119EB">
        <w:rPr>
          <w:rFonts w:ascii="Calibri" w:hAnsi="Calibri" w:cs="Calibri"/>
        </w:rPr>
        <w:t xml:space="preserve"> the consequences of ownership changes and the transfer of responsibility between companies, while in </w:t>
      </w:r>
      <w:proofErr w:type="spellStart"/>
      <w:r w:rsidRPr="002119EB">
        <w:rPr>
          <w:rFonts w:ascii="Calibri" w:hAnsi="Calibri" w:cs="Calibri"/>
          <w:b/>
          <w:bCs/>
        </w:rPr>
        <w:t>Jagersfontein</w:t>
      </w:r>
      <w:proofErr w:type="spellEnd"/>
      <w:r w:rsidRPr="002119EB">
        <w:rPr>
          <w:rFonts w:ascii="Calibri" w:hAnsi="Calibri" w:cs="Calibri"/>
        </w:rPr>
        <w:t>, communities continue to live with the consequences of catastrophic failures associated with mining waste and tailings.</w:t>
      </w:r>
    </w:p>
    <w:p w14:paraId="6FA94673" w14:textId="77777777" w:rsidR="002119EB" w:rsidRPr="002119EB" w:rsidRDefault="002119EB" w:rsidP="002119EB">
      <w:pPr>
        <w:rPr>
          <w:rFonts w:ascii="Calibri" w:hAnsi="Calibri" w:cs="Calibri"/>
        </w:rPr>
      </w:pPr>
      <w:r w:rsidRPr="002119EB">
        <w:rPr>
          <w:rFonts w:ascii="Calibri" w:hAnsi="Calibri" w:cs="Calibri"/>
        </w:rPr>
        <w:t>These experiences reveal why the 100 Year Debt cannot be understood simply as a legal or regulatory dispute. When jobs disappear, household income disappears with them; local businesses lose customers; municipalities inherit additional pressures; environmental risks remain embedded in the landscape; and communities can discover that decades of mining have produced remarkably little durable productive capacity capable of sustaining them once the company restructures or leaves.</w:t>
      </w:r>
    </w:p>
    <w:p w14:paraId="4C00AF4D" w14:textId="77777777" w:rsidR="002119EB" w:rsidRPr="002119EB" w:rsidRDefault="002119EB" w:rsidP="002119EB">
      <w:pPr>
        <w:rPr>
          <w:rFonts w:ascii="Calibri" w:hAnsi="Calibri" w:cs="Calibri"/>
          <w:b/>
          <w:bCs/>
        </w:rPr>
      </w:pPr>
      <w:r w:rsidRPr="002119EB">
        <w:rPr>
          <w:rFonts w:ascii="Calibri" w:hAnsi="Calibri" w:cs="Calibri"/>
          <w:b/>
          <w:bCs/>
        </w:rPr>
        <w:t>This is a labour and unemployment question</w:t>
      </w:r>
    </w:p>
    <w:p w14:paraId="5151EAD3" w14:textId="77777777" w:rsidR="002119EB" w:rsidRPr="002119EB" w:rsidRDefault="002119EB" w:rsidP="002119EB">
      <w:pPr>
        <w:rPr>
          <w:rFonts w:ascii="Calibri" w:hAnsi="Calibri" w:cs="Calibri"/>
        </w:rPr>
      </w:pPr>
      <w:r w:rsidRPr="002119EB">
        <w:rPr>
          <w:rFonts w:ascii="Calibri" w:hAnsi="Calibri" w:cs="Calibri"/>
        </w:rPr>
        <w:t>At a moment of catastrophic unemployment, Parliament cannot measure the contribution of mining merely by counting the jobs that exist while a mine is operating.</w:t>
      </w:r>
    </w:p>
    <w:p w14:paraId="4EAA6FED" w14:textId="77777777" w:rsidR="002119EB" w:rsidRPr="002119EB" w:rsidRDefault="002119EB" w:rsidP="002119EB">
      <w:pPr>
        <w:rPr>
          <w:rFonts w:ascii="Calibri" w:hAnsi="Calibri" w:cs="Calibri"/>
        </w:rPr>
      </w:pPr>
      <w:r w:rsidRPr="002119EB">
        <w:rPr>
          <w:rFonts w:ascii="Calibri" w:hAnsi="Calibri" w:cs="Calibri"/>
        </w:rPr>
        <w:t>It must ask what kind of jobs are created, whether workers share fairly in the value they produce, what happens when operations contract or change ownership, whether local economies are diversified before closure, and whether generations of extraction have created sufficient productive capacity for communities to survive once mining employment disappears.</w:t>
      </w:r>
    </w:p>
    <w:p w14:paraId="7B94B7AD" w14:textId="77777777" w:rsidR="002119EB" w:rsidRPr="002119EB" w:rsidRDefault="002119EB" w:rsidP="002119EB">
      <w:pPr>
        <w:rPr>
          <w:rFonts w:ascii="Calibri" w:hAnsi="Calibri" w:cs="Calibri"/>
        </w:rPr>
      </w:pPr>
      <w:r w:rsidRPr="002119EB">
        <w:rPr>
          <w:rFonts w:ascii="Calibri" w:hAnsi="Calibri" w:cs="Calibri"/>
        </w:rPr>
        <w:t xml:space="preserve">The coalition will also place before Parliament the related question of </w:t>
      </w:r>
      <w:r w:rsidRPr="002119EB">
        <w:rPr>
          <w:rFonts w:ascii="Calibri" w:hAnsi="Calibri" w:cs="Calibri"/>
          <w:b/>
          <w:bCs/>
        </w:rPr>
        <w:t>artisanal and small-scale mining</w:t>
      </w:r>
      <w:r w:rsidRPr="002119EB">
        <w:rPr>
          <w:rFonts w:ascii="Calibri" w:hAnsi="Calibri" w:cs="Calibri"/>
        </w:rPr>
        <w:t>. In a country where millions remain excluded from formal employment, it is increasingly difficult to justify a mineral economy in which access to mineral resources remains overwhelmingly organised around large-scale, capital-intensive extraction while ordinary people, cooperatives and communities face regulatory, financial and technical barriers that make lawful participation extraordinarily difficult.</w:t>
      </w:r>
    </w:p>
    <w:p w14:paraId="13576D39" w14:textId="77777777" w:rsidR="002119EB" w:rsidRPr="002119EB" w:rsidRDefault="002119EB" w:rsidP="002119EB">
      <w:pPr>
        <w:rPr>
          <w:rFonts w:ascii="Calibri" w:hAnsi="Calibri" w:cs="Calibri"/>
        </w:rPr>
      </w:pPr>
      <w:r w:rsidRPr="002119EB">
        <w:rPr>
          <w:rFonts w:ascii="Calibri" w:hAnsi="Calibri" w:cs="Calibri"/>
        </w:rPr>
        <w:t>The campaign therefore rejects an approach in which the State’s principal response to this exclusion is criminalisation. Organised criminal mining and violence must be confronted, but Parliament must also ask why the State is strengthening punitive measures against people operating at the bottom of the mineral economy while failing to create a genuinely accessible route through which artisanal miners and communities can participate lawfully in mineral production.</w:t>
      </w:r>
    </w:p>
    <w:p w14:paraId="1C05E379" w14:textId="77777777" w:rsidR="002119EB" w:rsidRPr="002119EB" w:rsidRDefault="002119EB" w:rsidP="002119EB">
      <w:pPr>
        <w:rPr>
          <w:rFonts w:ascii="Calibri" w:hAnsi="Calibri" w:cs="Calibri"/>
          <w:b/>
          <w:bCs/>
        </w:rPr>
      </w:pPr>
      <w:r w:rsidRPr="002119EB">
        <w:rPr>
          <w:rFonts w:ascii="Calibri" w:hAnsi="Calibri" w:cs="Calibri"/>
          <w:b/>
          <w:bCs/>
        </w:rPr>
        <w:t>The environmental debt cannot be left behind</w:t>
      </w:r>
    </w:p>
    <w:p w14:paraId="28F4628A" w14:textId="77777777" w:rsidR="002119EB" w:rsidRPr="002119EB" w:rsidRDefault="002119EB" w:rsidP="002119EB">
      <w:pPr>
        <w:rPr>
          <w:rFonts w:ascii="Calibri" w:hAnsi="Calibri" w:cs="Calibri"/>
        </w:rPr>
      </w:pPr>
      <w:r w:rsidRPr="002119EB">
        <w:rPr>
          <w:rFonts w:ascii="Calibri" w:hAnsi="Calibri" w:cs="Calibri"/>
        </w:rPr>
        <w:t>The coalition will also place environmental liability at the centre of Tuesday’s presentation.</w:t>
      </w:r>
    </w:p>
    <w:p w14:paraId="427509D8" w14:textId="4BEC6917" w:rsidR="002119EB" w:rsidRPr="002119EB" w:rsidRDefault="002119EB" w:rsidP="002119EB">
      <w:pPr>
        <w:rPr>
          <w:rFonts w:ascii="Calibri" w:hAnsi="Calibri" w:cs="Calibri"/>
        </w:rPr>
      </w:pPr>
      <w:r w:rsidRPr="002119EB">
        <w:rPr>
          <w:rFonts w:ascii="Calibri" w:hAnsi="Calibri" w:cs="Calibri"/>
        </w:rPr>
        <w:t xml:space="preserve">The </w:t>
      </w:r>
      <w:r w:rsidRPr="002119EB">
        <w:rPr>
          <w:rFonts w:ascii="Calibri" w:hAnsi="Calibri" w:cs="Calibri"/>
          <w:b/>
          <w:bCs/>
        </w:rPr>
        <w:t xml:space="preserve">Centre for Environmental Rights and </w:t>
      </w:r>
      <w:proofErr w:type="gramStart"/>
      <w:r w:rsidRPr="002119EB">
        <w:rPr>
          <w:rFonts w:ascii="Calibri" w:hAnsi="Calibri" w:cs="Calibri"/>
          <w:b/>
          <w:bCs/>
        </w:rPr>
        <w:t>Bench Marks</w:t>
      </w:r>
      <w:proofErr w:type="gramEnd"/>
      <w:r w:rsidRPr="002119EB">
        <w:rPr>
          <w:rFonts w:ascii="Calibri" w:hAnsi="Calibri" w:cs="Calibri"/>
          <w:b/>
          <w:bCs/>
        </w:rPr>
        <w:t xml:space="preserve"> Foundation</w:t>
      </w:r>
      <w:r>
        <w:rPr>
          <w:rFonts w:ascii="Calibri" w:hAnsi="Calibri" w:cs="Calibri"/>
          <w:b/>
          <w:bCs/>
        </w:rPr>
        <w:t xml:space="preserve">, supported by </w:t>
      </w:r>
      <w:proofErr w:type="spellStart"/>
      <w:r>
        <w:rPr>
          <w:rFonts w:ascii="Calibri" w:hAnsi="Calibri" w:cs="Calibri"/>
          <w:b/>
          <w:bCs/>
        </w:rPr>
        <w:t>Allrise</w:t>
      </w:r>
      <w:proofErr w:type="spellEnd"/>
      <w:r>
        <w:rPr>
          <w:rFonts w:ascii="Calibri" w:hAnsi="Calibri" w:cs="Calibri"/>
          <w:b/>
          <w:bCs/>
        </w:rPr>
        <w:t xml:space="preserve"> Attorneys and the Henk Smith Attorneys</w:t>
      </w:r>
      <w:r w:rsidRPr="002119EB">
        <w:rPr>
          <w:rFonts w:ascii="Calibri" w:hAnsi="Calibri" w:cs="Calibri"/>
        </w:rPr>
        <w:t xml:space="preserve"> will address mine closure, rehabilitation, financial provisioning, tailings, polluted water and land, abandoned mines and the transfer of environmental liabilities when assets move between corporate entities. Their intervention </w:t>
      </w:r>
      <w:r w:rsidRPr="002119EB">
        <w:rPr>
          <w:rFonts w:ascii="Calibri" w:hAnsi="Calibri" w:cs="Calibri"/>
        </w:rPr>
        <w:lastRenderedPageBreak/>
        <w:t xml:space="preserve">will examine a pattern increasingly visible in the sector: large mining houses divesting from mature or high-liability assets, which are then transferred to entities with weaker balance sheets and potentially reduced capacity to meet rehabilitation and closure obligations. </w:t>
      </w:r>
    </w:p>
    <w:p w14:paraId="1F0788C6" w14:textId="77777777" w:rsidR="002119EB" w:rsidRPr="002119EB" w:rsidRDefault="002119EB" w:rsidP="002119EB">
      <w:pPr>
        <w:rPr>
          <w:rFonts w:ascii="Calibri" w:hAnsi="Calibri" w:cs="Calibri"/>
        </w:rPr>
      </w:pPr>
      <w:r w:rsidRPr="002119EB">
        <w:rPr>
          <w:rFonts w:ascii="Calibri" w:hAnsi="Calibri" w:cs="Calibri"/>
        </w:rPr>
        <w:t xml:space="preserve">This problem is not merely about historic abandoned mines. As participants stressed during the coalition meeting, South Africa risks </w:t>
      </w:r>
      <w:r w:rsidRPr="002119EB">
        <w:rPr>
          <w:rFonts w:ascii="Calibri" w:hAnsi="Calibri" w:cs="Calibri"/>
          <w:b/>
          <w:bCs/>
        </w:rPr>
        <w:t>creating the next generation of abandoned mines today</w:t>
      </w:r>
      <w:r w:rsidRPr="002119EB">
        <w:rPr>
          <w:rFonts w:ascii="Calibri" w:hAnsi="Calibri" w:cs="Calibri"/>
        </w:rPr>
        <w:t xml:space="preserve"> unless the regulatory framework is changed. </w:t>
      </w:r>
    </w:p>
    <w:p w14:paraId="7F16DD95" w14:textId="77777777" w:rsidR="002119EB" w:rsidRPr="002119EB" w:rsidRDefault="002119EB" w:rsidP="002119EB">
      <w:pPr>
        <w:rPr>
          <w:rFonts w:ascii="Calibri" w:hAnsi="Calibri" w:cs="Calibri"/>
        </w:rPr>
      </w:pPr>
      <w:r w:rsidRPr="002119EB">
        <w:rPr>
          <w:rFonts w:ascii="Calibri" w:hAnsi="Calibri" w:cs="Calibri"/>
        </w:rPr>
        <w:t xml:space="preserve">The scale of the ecological debt is also much larger than the visible rehabilitation cost of individual mines. Professor Patrick Bond has estimated that Anglo American’s historical climate debt alone could exceed </w:t>
      </w:r>
      <w:r w:rsidRPr="002119EB">
        <w:rPr>
          <w:rFonts w:ascii="Calibri" w:hAnsi="Calibri" w:cs="Calibri"/>
          <w:b/>
          <w:bCs/>
        </w:rPr>
        <w:t>US$10 trillion, approximately R160 trillion</w:t>
      </w:r>
      <w:r w:rsidRPr="002119EB">
        <w:rPr>
          <w:rFonts w:ascii="Calibri" w:hAnsi="Calibri" w:cs="Calibri"/>
        </w:rPr>
        <w:t>, when historical greenhouse-gas emissions are valued using a full-cost damage methodology. While the coalition does not present this figure as an already adjudicated legal liability, it illustrates a fundamental accounting problem: some of the largest social and environmental costs generated through extraction do not appear on corporate balance sheets at all.</w:t>
      </w:r>
    </w:p>
    <w:p w14:paraId="2B3F8C2D" w14:textId="77777777" w:rsidR="002119EB" w:rsidRPr="002119EB" w:rsidRDefault="002119EB" w:rsidP="002119EB">
      <w:pPr>
        <w:rPr>
          <w:rFonts w:ascii="Calibri" w:hAnsi="Calibri" w:cs="Calibri"/>
        </w:rPr>
      </w:pPr>
      <w:r w:rsidRPr="002119EB">
        <w:rPr>
          <w:rFonts w:ascii="Calibri" w:hAnsi="Calibri" w:cs="Calibri"/>
        </w:rPr>
        <w:t>The question Parliament must therefore ask is not merely whether sufficient money has been set aside to close a particular mine, but whether the full environmental cost of extraction is being recognised and whether those costs remain attached to those who accumulated the wealth.</w:t>
      </w:r>
    </w:p>
    <w:p w14:paraId="3FF15551" w14:textId="77777777" w:rsidR="002119EB" w:rsidRPr="002119EB" w:rsidRDefault="002119EB" w:rsidP="002119EB">
      <w:pPr>
        <w:rPr>
          <w:rFonts w:ascii="Calibri" w:hAnsi="Calibri" w:cs="Calibri"/>
          <w:b/>
          <w:bCs/>
        </w:rPr>
      </w:pPr>
      <w:r w:rsidRPr="002119EB">
        <w:rPr>
          <w:rFonts w:ascii="Calibri" w:hAnsi="Calibri" w:cs="Calibri"/>
          <w:b/>
          <w:bCs/>
        </w:rPr>
        <w:t>Abandoned mines are also part of the illegal-mining crisis</w:t>
      </w:r>
    </w:p>
    <w:p w14:paraId="2862DC65" w14:textId="77777777" w:rsidR="002119EB" w:rsidRPr="002119EB" w:rsidRDefault="002119EB" w:rsidP="002119EB">
      <w:pPr>
        <w:rPr>
          <w:rFonts w:ascii="Calibri" w:hAnsi="Calibri" w:cs="Calibri"/>
        </w:rPr>
      </w:pPr>
      <w:r w:rsidRPr="002119EB">
        <w:rPr>
          <w:rFonts w:ascii="Calibri" w:hAnsi="Calibri" w:cs="Calibri"/>
        </w:rPr>
        <w:t xml:space="preserve">South Africa’s thousands of </w:t>
      </w:r>
      <w:proofErr w:type="gramStart"/>
      <w:r w:rsidRPr="002119EB">
        <w:rPr>
          <w:rFonts w:ascii="Calibri" w:hAnsi="Calibri" w:cs="Calibri"/>
        </w:rPr>
        <w:t>derelict</w:t>
      </w:r>
      <w:proofErr w:type="gramEnd"/>
      <w:r w:rsidRPr="002119EB">
        <w:rPr>
          <w:rFonts w:ascii="Calibri" w:hAnsi="Calibri" w:cs="Calibri"/>
        </w:rPr>
        <w:t>, ownerless and abandoned mines and workings are not historical curiosities. They form part of the physical landscape on which today’s crisis of informal and illegal mining is unfolding.</w:t>
      </w:r>
    </w:p>
    <w:p w14:paraId="73ADCB9B" w14:textId="77777777" w:rsidR="002119EB" w:rsidRPr="002119EB" w:rsidRDefault="002119EB" w:rsidP="002119EB">
      <w:pPr>
        <w:rPr>
          <w:rFonts w:ascii="Calibri" w:hAnsi="Calibri" w:cs="Calibri"/>
        </w:rPr>
      </w:pPr>
      <w:r w:rsidRPr="002119EB">
        <w:rPr>
          <w:rFonts w:ascii="Calibri" w:hAnsi="Calibri" w:cs="Calibri"/>
        </w:rPr>
        <w:t>Those abandoned shafts have a history.</w:t>
      </w:r>
    </w:p>
    <w:p w14:paraId="6D68ECFF" w14:textId="77777777" w:rsidR="002119EB" w:rsidRPr="002119EB" w:rsidRDefault="002119EB" w:rsidP="002119EB">
      <w:pPr>
        <w:rPr>
          <w:rFonts w:ascii="Calibri" w:hAnsi="Calibri" w:cs="Calibri"/>
        </w:rPr>
      </w:pPr>
      <w:r w:rsidRPr="002119EB">
        <w:rPr>
          <w:rFonts w:ascii="Calibri" w:hAnsi="Calibri" w:cs="Calibri"/>
        </w:rPr>
        <w:t>The coalition will therefore ask Parliament to confront the connection between abandoned mining infrastructure, unemployment, exclusion from lawful artisanal mining and the State’s increasingly coercive response to people working in abandoned mining areas.</w:t>
      </w:r>
    </w:p>
    <w:p w14:paraId="6D58DDDB" w14:textId="77777777" w:rsidR="002119EB" w:rsidRPr="002119EB" w:rsidRDefault="002119EB" w:rsidP="002119EB">
      <w:pPr>
        <w:rPr>
          <w:rFonts w:ascii="Calibri" w:hAnsi="Calibri" w:cs="Calibri"/>
        </w:rPr>
      </w:pPr>
      <w:proofErr w:type="spellStart"/>
      <w:r w:rsidRPr="002119EB">
        <w:rPr>
          <w:rFonts w:ascii="Calibri" w:hAnsi="Calibri" w:cs="Calibri"/>
          <w:b/>
          <w:bCs/>
        </w:rPr>
        <w:t>Stilfontein</w:t>
      </w:r>
      <w:proofErr w:type="spellEnd"/>
      <w:r w:rsidRPr="002119EB">
        <w:rPr>
          <w:rFonts w:ascii="Calibri" w:hAnsi="Calibri" w:cs="Calibri"/>
        </w:rPr>
        <w:t xml:space="preserve"> demonstrated the consequences of addressing only the final link in this chain.</w:t>
      </w:r>
    </w:p>
    <w:p w14:paraId="05441811" w14:textId="77777777" w:rsidR="002119EB" w:rsidRDefault="002119EB" w:rsidP="002119EB">
      <w:pPr>
        <w:rPr>
          <w:rFonts w:ascii="Calibri" w:hAnsi="Calibri" w:cs="Calibri"/>
        </w:rPr>
      </w:pPr>
      <w:r w:rsidRPr="002119EB">
        <w:rPr>
          <w:rFonts w:ascii="Calibri" w:hAnsi="Calibri" w:cs="Calibri"/>
        </w:rPr>
        <w:t>A democratic response cannot begin with the person found underground while ignoring who created the underground infrastructure, who extracted the profitable ore, what happened when formal mining ended, whether rehabilitation occurred and why responsibility for abandoned landscapes so frequently becomes a burden borne by communities and the State.</w:t>
      </w:r>
    </w:p>
    <w:p w14:paraId="71F67ED3" w14:textId="77777777" w:rsidR="007F4A6D" w:rsidRPr="002119EB" w:rsidRDefault="007F4A6D" w:rsidP="002119EB">
      <w:pPr>
        <w:rPr>
          <w:rFonts w:ascii="Calibri" w:hAnsi="Calibri" w:cs="Calibri"/>
        </w:rPr>
      </w:pPr>
    </w:p>
    <w:p w14:paraId="471F95D5" w14:textId="77777777" w:rsidR="007F4A6D" w:rsidRDefault="002119EB" w:rsidP="002119EB">
      <w:pPr>
        <w:rPr>
          <w:rFonts w:ascii="Calibri" w:hAnsi="Calibri" w:cs="Calibri"/>
          <w:b/>
          <w:bCs/>
        </w:rPr>
      </w:pPr>
      <w:r w:rsidRPr="002119EB">
        <w:rPr>
          <w:rFonts w:ascii="Calibri" w:hAnsi="Calibri" w:cs="Calibri"/>
          <w:b/>
          <w:bCs/>
        </w:rPr>
        <w:t>The courts are moving forward while legislation risks moving backwards</w:t>
      </w:r>
      <w:r w:rsidR="007F4A6D">
        <w:rPr>
          <w:rFonts w:ascii="Calibri" w:hAnsi="Calibri" w:cs="Calibri"/>
          <w:b/>
          <w:bCs/>
        </w:rPr>
        <w:t>.</w:t>
      </w:r>
    </w:p>
    <w:p w14:paraId="4FAE3C00" w14:textId="74C5541B" w:rsidR="002119EB" w:rsidRPr="002119EB" w:rsidRDefault="002119EB" w:rsidP="002119EB">
      <w:pPr>
        <w:rPr>
          <w:rFonts w:ascii="Calibri" w:hAnsi="Calibri" w:cs="Calibri"/>
          <w:b/>
          <w:bCs/>
        </w:rPr>
      </w:pPr>
      <w:r w:rsidRPr="002119EB">
        <w:rPr>
          <w:rFonts w:ascii="Calibri" w:hAnsi="Calibri" w:cs="Calibri"/>
        </w:rPr>
        <w:t>The coalition will also place the current legislative process before Parliament.</w:t>
      </w:r>
      <w:r w:rsidR="007F4A6D">
        <w:rPr>
          <w:rFonts w:ascii="Calibri" w:hAnsi="Calibri" w:cs="Calibri"/>
          <w:b/>
          <w:bCs/>
        </w:rPr>
        <w:t xml:space="preserve"> </w:t>
      </w:r>
      <w:r w:rsidRPr="002119EB">
        <w:rPr>
          <w:rFonts w:ascii="Calibri" w:hAnsi="Calibri" w:cs="Calibri"/>
        </w:rPr>
        <w:t xml:space="preserve">South Africa’s constitutional jurisprudence has developed considerably through </w:t>
      </w:r>
      <w:proofErr w:type="spellStart"/>
      <w:r w:rsidRPr="002119EB">
        <w:rPr>
          <w:rFonts w:ascii="Calibri" w:hAnsi="Calibri" w:cs="Calibri"/>
          <w:b/>
          <w:bCs/>
        </w:rPr>
        <w:t>Bengwenyama</w:t>
      </w:r>
      <w:proofErr w:type="spellEnd"/>
      <w:r w:rsidRPr="002119EB">
        <w:rPr>
          <w:rFonts w:ascii="Calibri" w:hAnsi="Calibri" w:cs="Calibri"/>
          <w:b/>
          <w:bCs/>
        </w:rPr>
        <w:t xml:space="preserve">, </w:t>
      </w:r>
      <w:proofErr w:type="spellStart"/>
      <w:r w:rsidRPr="002119EB">
        <w:rPr>
          <w:rFonts w:ascii="Calibri" w:hAnsi="Calibri" w:cs="Calibri"/>
          <w:b/>
          <w:bCs/>
        </w:rPr>
        <w:t>Maledu</w:t>
      </w:r>
      <w:proofErr w:type="spellEnd"/>
      <w:r w:rsidRPr="002119EB">
        <w:rPr>
          <w:rFonts w:ascii="Calibri" w:hAnsi="Calibri" w:cs="Calibri"/>
          <w:b/>
          <w:bCs/>
        </w:rPr>
        <w:t xml:space="preserve">, </w:t>
      </w:r>
      <w:r w:rsidRPr="002119EB">
        <w:rPr>
          <w:rFonts w:ascii="Calibri" w:hAnsi="Calibri" w:cs="Calibri"/>
          <w:b/>
          <w:bCs/>
        </w:rPr>
        <w:lastRenderedPageBreak/>
        <w:t>Baleni and most recently Sustaining the Wild Coast</w:t>
      </w:r>
      <w:r w:rsidRPr="002119EB">
        <w:rPr>
          <w:rFonts w:ascii="Calibri" w:hAnsi="Calibri" w:cs="Calibri"/>
        </w:rPr>
        <w:t>, with the courts progressively recognising the dignity, agency, land rights and meaningful participation of mining-affected communities.</w:t>
      </w:r>
    </w:p>
    <w:p w14:paraId="6A40A3D0" w14:textId="77777777" w:rsidR="002119EB" w:rsidRPr="002119EB" w:rsidRDefault="002119EB" w:rsidP="002119EB">
      <w:pPr>
        <w:rPr>
          <w:rFonts w:ascii="Calibri" w:hAnsi="Calibri" w:cs="Calibri"/>
        </w:rPr>
      </w:pPr>
      <w:r w:rsidRPr="002119EB">
        <w:rPr>
          <w:rFonts w:ascii="Calibri" w:hAnsi="Calibri" w:cs="Calibri"/>
        </w:rPr>
        <w:t xml:space="preserve">These judgments establish principles that go substantially beyond procedural notification. Communities must be able to participate meaningfully in decisions that affect their land, livelihoods, identities and futures, while informal and customary land rights attract additional protections, including consent requirements where IPILRA applies. </w:t>
      </w:r>
    </w:p>
    <w:p w14:paraId="4CD95E45" w14:textId="77777777" w:rsidR="002119EB" w:rsidRPr="002119EB" w:rsidRDefault="002119EB" w:rsidP="002119EB">
      <w:pPr>
        <w:rPr>
          <w:rFonts w:ascii="Calibri" w:hAnsi="Calibri" w:cs="Calibri"/>
        </w:rPr>
      </w:pPr>
      <w:r w:rsidRPr="002119EB">
        <w:rPr>
          <w:rFonts w:ascii="Calibri" w:hAnsi="Calibri" w:cs="Calibri"/>
        </w:rPr>
        <w:t xml:space="preserve">Yet the </w:t>
      </w:r>
      <w:r w:rsidRPr="002119EB">
        <w:rPr>
          <w:rFonts w:ascii="Calibri" w:hAnsi="Calibri" w:cs="Calibri"/>
          <w:b/>
          <w:bCs/>
        </w:rPr>
        <w:t>Mineral Resources Development Amendment Bill and General Laws Amendment Bill</w:t>
      </w:r>
      <w:r w:rsidRPr="002119EB">
        <w:rPr>
          <w:rFonts w:ascii="Calibri" w:hAnsi="Calibri" w:cs="Calibri"/>
        </w:rPr>
        <w:t xml:space="preserve"> currently being advanced do not adequately incorporate the full development of this jurisprudence and, in important respects, risk moving backwards by narrowing participation, failing properly to recognise consent requirements and strengthening criminalisation without addressing the underlying structural failures of the formal mining system. </w:t>
      </w:r>
    </w:p>
    <w:p w14:paraId="4A0252A2" w14:textId="77777777" w:rsidR="002119EB" w:rsidRPr="002119EB" w:rsidRDefault="002119EB" w:rsidP="002119EB">
      <w:pPr>
        <w:rPr>
          <w:rFonts w:ascii="Calibri" w:hAnsi="Calibri" w:cs="Calibri"/>
        </w:rPr>
      </w:pPr>
      <w:r w:rsidRPr="002119EB">
        <w:rPr>
          <w:rFonts w:ascii="Calibri" w:hAnsi="Calibri" w:cs="Calibri"/>
        </w:rPr>
        <w:t>The coalition will therefore ask a basic constitutional question:</w:t>
      </w:r>
    </w:p>
    <w:p w14:paraId="5628FB53" w14:textId="77777777" w:rsidR="002119EB" w:rsidRPr="002119EB" w:rsidRDefault="002119EB" w:rsidP="002119EB">
      <w:pPr>
        <w:rPr>
          <w:rFonts w:ascii="Calibri" w:hAnsi="Calibri" w:cs="Calibri"/>
        </w:rPr>
      </w:pPr>
      <w:r w:rsidRPr="002119EB">
        <w:rPr>
          <w:rFonts w:ascii="Calibri" w:hAnsi="Calibri" w:cs="Calibri"/>
          <w:b/>
          <w:bCs/>
        </w:rPr>
        <w:t>What does constitutional supremacy mean if communities repeatedly have to approach the courts to establish their rights, only for subsequent legislation to fail to incorporate the principles those judgments establish?</w:t>
      </w:r>
    </w:p>
    <w:p w14:paraId="00AF03A3" w14:textId="77777777" w:rsidR="007F4A6D" w:rsidRDefault="007F4A6D" w:rsidP="002119EB">
      <w:pPr>
        <w:rPr>
          <w:rFonts w:ascii="Calibri" w:hAnsi="Calibri" w:cs="Calibri"/>
          <w:b/>
          <w:bCs/>
        </w:rPr>
      </w:pPr>
    </w:p>
    <w:p w14:paraId="7D3E7D42" w14:textId="51388765" w:rsidR="002119EB" w:rsidRPr="002119EB" w:rsidRDefault="002119EB" w:rsidP="002119EB">
      <w:pPr>
        <w:rPr>
          <w:rFonts w:ascii="Calibri" w:hAnsi="Calibri" w:cs="Calibri"/>
          <w:b/>
          <w:bCs/>
        </w:rPr>
      </w:pPr>
      <w:r w:rsidRPr="002119EB">
        <w:rPr>
          <w:rFonts w:ascii="Calibri" w:hAnsi="Calibri" w:cs="Calibri"/>
          <w:b/>
          <w:bCs/>
        </w:rPr>
        <w:t>Parliament’s own conduct must also be examined</w:t>
      </w:r>
    </w:p>
    <w:p w14:paraId="61585292" w14:textId="77777777" w:rsidR="002119EB" w:rsidRPr="002119EB" w:rsidRDefault="002119EB" w:rsidP="002119EB">
      <w:pPr>
        <w:rPr>
          <w:rFonts w:ascii="Calibri" w:hAnsi="Calibri" w:cs="Calibri"/>
        </w:rPr>
      </w:pPr>
      <w:r w:rsidRPr="002119EB">
        <w:rPr>
          <w:rFonts w:ascii="Calibri" w:hAnsi="Calibri" w:cs="Calibri"/>
        </w:rPr>
        <w:t>The coalition will further raise the contradiction between Parliament’s prolonged delay in dealing with the petition and the Portfolio Committee’s study tour to Canada during precisely that period.</w:t>
      </w:r>
    </w:p>
    <w:p w14:paraId="1464A626" w14:textId="77777777" w:rsidR="002119EB" w:rsidRPr="002119EB" w:rsidRDefault="002119EB" w:rsidP="002119EB">
      <w:pPr>
        <w:rPr>
          <w:rFonts w:ascii="Calibri" w:hAnsi="Calibri" w:cs="Calibri"/>
        </w:rPr>
      </w:pPr>
      <w:r w:rsidRPr="002119EB">
        <w:rPr>
          <w:rFonts w:ascii="Calibri" w:hAnsi="Calibri" w:cs="Calibri"/>
        </w:rPr>
        <w:t xml:space="preserve">While mining-affected communities were still waiting for the Committee to consider a petition concerning capital flight, corporate restructuring, abandoned mines and inherited liabilities, the Committee travelled to Canada and examined </w:t>
      </w:r>
      <w:r w:rsidRPr="002119EB">
        <w:rPr>
          <w:rFonts w:ascii="Calibri" w:hAnsi="Calibri" w:cs="Calibri"/>
          <w:b/>
          <w:bCs/>
        </w:rPr>
        <w:t>mine closure, rehabilitation funding, financial assurance, abandoned mines and Anglo American’s restructuring and disinvestment</w:t>
      </w:r>
      <w:r w:rsidRPr="002119EB">
        <w:rPr>
          <w:rFonts w:ascii="Calibri" w:hAnsi="Calibri" w:cs="Calibri"/>
        </w:rPr>
        <w:t>.</w:t>
      </w:r>
    </w:p>
    <w:p w14:paraId="5B73B918" w14:textId="61B6B0CB" w:rsidR="002119EB" w:rsidRPr="002119EB" w:rsidRDefault="002119EB" w:rsidP="002119EB">
      <w:pPr>
        <w:rPr>
          <w:rFonts w:ascii="Calibri" w:hAnsi="Calibri" w:cs="Calibri"/>
        </w:rPr>
      </w:pPr>
      <w:r w:rsidRPr="002119EB">
        <w:rPr>
          <w:rFonts w:ascii="Calibri" w:hAnsi="Calibri" w:cs="Calibri"/>
        </w:rPr>
        <w:t>This morning’s coalition discussion recognised that this issue should not overwhelm the substantive case, but it cannot simply be ignored.</w:t>
      </w:r>
      <w:r w:rsidR="007F4A6D">
        <w:rPr>
          <w:rFonts w:ascii="Calibri" w:hAnsi="Calibri" w:cs="Calibri"/>
        </w:rPr>
        <w:t xml:space="preserve"> </w:t>
      </w:r>
      <w:r w:rsidRPr="002119EB">
        <w:rPr>
          <w:rFonts w:ascii="Calibri" w:hAnsi="Calibri" w:cs="Calibri"/>
        </w:rPr>
        <w:t>The question is not merely why Parliament travelled to Canada.</w:t>
      </w:r>
      <w:r w:rsidR="007F4A6D">
        <w:rPr>
          <w:rFonts w:ascii="Calibri" w:hAnsi="Calibri" w:cs="Calibri"/>
        </w:rPr>
        <w:t xml:space="preserve"> </w:t>
      </w:r>
      <w:r w:rsidRPr="002119EB">
        <w:rPr>
          <w:rFonts w:ascii="Calibri" w:hAnsi="Calibri" w:cs="Calibri"/>
        </w:rPr>
        <w:t>The deeper question is:</w:t>
      </w:r>
      <w:r w:rsidR="007F4A6D">
        <w:rPr>
          <w:rFonts w:ascii="Calibri" w:hAnsi="Calibri" w:cs="Calibri"/>
        </w:rPr>
        <w:t xml:space="preserve"> </w:t>
      </w:r>
      <w:r w:rsidRPr="002119EB">
        <w:rPr>
          <w:rFonts w:ascii="Calibri" w:hAnsi="Calibri" w:cs="Calibri"/>
          <w:b/>
          <w:bCs/>
        </w:rPr>
        <w:t>Whose knowledge, experience and interests receive access and priority when South Africa determines the future of its mineral economy?</w:t>
      </w:r>
    </w:p>
    <w:p w14:paraId="235CA0E0" w14:textId="77777777" w:rsidR="007F4A6D" w:rsidRDefault="007F4A6D" w:rsidP="002119EB">
      <w:pPr>
        <w:rPr>
          <w:rFonts w:ascii="Calibri" w:hAnsi="Calibri" w:cs="Calibri"/>
          <w:b/>
          <w:bCs/>
        </w:rPr>
      </w:pPr>
    </w:p>
    <w:p w14:paraId="0190A9A9" w14:textId="119B256F" w:rsidR="002119EB" w:rsidRPr="002119EB" w:rsidRDefault="002119EB" w:rsidP="002119EB">
      <w:pPr>
        <w:rPr>
          <w:rFonts w:ascii="Calibri" w:hAnsi="Calibri" w:cs="Calibri"/>
          <w:b/>
          <w:bCs/>
        </w:rPr>
      </w:pPr>
      <w:r w:rsidRPr="002119EB">
        <w:rPr>
          <w:rFonts w:ascii="Calibri" w:hAnsi="Calibri" w:cs="Calibri"/>
          <w:b/>
          <w:bCs/>
        </w:rPr>
        <w:t xml:space="preserve">Our principal </w:t>
      </w:r>
      <w:r w:rsidR="007F4A6D">
        <w:rPr>
          <w:rFonts w:ascii="Calibri" w:hAnsi="Calibri" w:cs="Calibri"/>
          <w:b/>
          <w:bCs/>
        </w:rPr>
        <w:t>request</w:t>
      </w:r>
      <w:r w:rsidRPr="002119EB">
        <w:rPr>
          <w:rFonts w:ascii="Calibri" w:hAnsi="Calibri" w:cs="Calibri"/>
          <w:b/>
          <w:bCs/>
        </w:rPr>
        <w:t xml:space="preserve"> is an inquiry</w:t>
      </w:r>
    </w:p>
    <w:p w14:paraId="25C96700" w14:textId="77777777" w:rsidR="002119EB" w:rsidRPr="002119EB" w:rsidRDefault="002119EB" w:rsidP="002119EB">
      <w:pPr>
        <w:rPr>
          <w:rFonts w:ascii="Calibri" w:hAnsi="Calibri" w:cs="Calibri"/>
        </w:rPr>
      </w:pPr>
      <w:r w:rsidRPr="002119EB">
        <w:rPr>
          <w:rFonts w:ascii="Calibri" w:hAnsi="Calibri" w:cs="Calibri"/>
        </w:rPr>
        <w:t>The coalition agreed this morning that Tuesday’s engagement must lead to a concrete outcome.</w:t>
      </w:r>
    </w:p>
    <w:p w14:paraId="3A814417" w14:textId="57E979F0" w:rsidR="002119EB" w:rsidRPr="002119EB" w:rsidRDefault="002119EB" w:rsidP="002119EB">
      <w:pPr>
        <w:rPr>
          <w:rFonts w:ascii="Calibri" w:hAnsi="Calibri" w:cs="Calibri"/>
        </w:rPr>
      </w:pPr>
      <w:r w:rsidRPr="002119EB">
        <w:rPr>
          <w:rFonts w:ascii="Calibri" w:hAnsi="Calibri" w:cs="Calibri"/>
        </w:rPr>
        <w:lastRenderedPageBreak/>
        <w:t xml:space="preserve">The principal </w:t>
      </w:r>
      <w:r w:rsidR="007F4A6D">
        <w:rPr>
          <w:rFonts w:ascii="Calibri" w:hAnsi="Calibri" w:cs="Calibri"/>
        </w:rPr>
        <w:t>request</w:t>
      </w:r>
      <w:r w:rsidRPr="002119EB">
        <w:rPr>
          <w:rFonts w:ascii="Calibri" w:hAnsi="Calibri" w:cs="Calibri"/>
        </w:rPr>
        <w:t xml:space="preserve"> will therefore be that the Portfolio Committee exercise its constitutional oversight powers and establish a </w:t>
      </w:r>
      <w:r w:rsidRPr="002119EB">
        <w:rPr>
          <w:rFonts w:ascii="Calibri" w:hAnsi="Calibri" w:cs="Calibri"/>
          <w:b/>
          <w:bCs/>
        </w:rPr>
        <w:t>substantive inquiry or public-hearing process into the 100 Year Debt and the continuing social, labour, environmental and economic consequences of mining, corporate restructuring and abandonment</w:t>
      </w:r>
      <w:r w:rsidRPr="002119EB">
        <w:rPr>
          <w:rFonts w:ascii="Calibri" w:hAnsi="Calibri" w:cs="Calibri"/>
        </w:rPr>
        <w:t xml:space="preserve">. </w:t>
      </w:r>
    </w:p>
    <w:p w14:paraId="0C1E0A93" w14:textId="77777777" w:rsidR="002119EB" w:rsidRPr="002119EB" w:rsidRDefault="002119EB" w:rsidP="002119EB">
      <w:pPr>
        <w:rPr>
          <w:rFonts w:ascii="Calibri" w:hAnsi="Calibri" w:cs="Calibri"/>
        </w:rPr>
      </w:pPr>
      <w:r w:rsidRPr="002119EB">
        <w:rPr>
          <w:rFonts w:ascii="Calibri" w:hAnsi="Calibri" w:cs="Calibri"/>
        </w:rPr>
        <w:t>Such a process must be capable of hearing affected communities, workers, government departments, regulators, mining companies, the PIC, environmental and legal experts, economists and civil society, and must examine not only historic obligations but the regulatory failures that continue to reproduce the same outcomes.</w:t>
      </w:r>
    </w:p>
    <w:p w14:paraId="77886DE2" w14:textId="77777777" w:rsidR="002119EB" w:rsidRPr="002119EB" w:rsidRDefault="002119EB" w:rsidP="002119EB">
      <w:pPr>
        <w:rPr>
          <w:rFonts w:ascii="Calibri" w:hAnsi="Calibri" w:cs="Calibri"/>
        </w:rPr>
      </w:pPr>
      <w:r w:rsidRPr="002119EB">
        <w:rPr>
          <w:rFonts w:ascii="Calibri" w:hAnsi="Calibri" w:cs="Calibri"/>
        </w:rPr>
        <w:t xml:space="preserve">The coalition will also ask Parliament to consider mechanisms ensuring that </w:t>
      </w:r>
      <w:r w:rsidRPr="002119EB">
        <w:rPr>
          <w:rFonts w:ascii="Calibri" w:hAnsi="Calibri" w:cs="Calibri"/>
          <w:b/>
          <w:bCs/>
        </w:rPr>
        <w:t>value and liability cannot be separated through corporate restructuring; environmental and labour obligations are fully identified and funded before assets are transferred; mining legislation gives proper effect to constitutional jurisprudence; accessible pathways into artisanal and small-scale mining are created; and major corporate exits or restructurings are subjected to a genuine public-interest assessment before they become irreversible.</w:t>
      </w:r>
    </w:p>
    <w:p w14:paraId="47EC780E" w14:textId="77777777" w:rsidR="002119EB" w:rsidRPr="002119EB" w:rsidRDefault="002119EB" w:rsidP="002119EB">
      <w:pPr>
        <w:rPr>
          <w:rFonts w:ascii="Calibri" w:hAnsi="Calibri" w:cs="Calibri"/>
        </w:rPr>
      </w:pPr>
      <w:r w:rsidRPr="002119EB">
        <w:rPr>
          <w:rFonts w:ascii="Calibri" w:hAnsi="Calibri" w:cs="Calibri"/>
        </w:rPr>
        <w:t>The purpose of the inquiry should ultimately be larger than an investigation into one company.</w:t>
      </w:r>
    </w:p>
    <w:p w14:paraId="55C67BCA" w14:textId="77777777" w:rsidR="002119EB" w:rsidRPr="002119EB" w:rsidRDefault="002119EB" w:rsidP="002119EB">
      <w:pPr>
        <w:rPr>
          <w:rFonts w:ascii="Calibri" w:hAnsi="Calibri" w:cs="Calibri"/>
        </w:rPr>
      </w:pPr>
      <w:r w:rsidRPr="002119EB">
        <w:rPr>
          <w:rFonts w:ascii="Calibri" w:hAnsi="Calibri" w:cs="Calibri"/>
        </w:rPr>
        <w:t>Anglo American is the face of the problem because its history and current restructuring bring the contradictions into unusually sharp relief, but the 100 Year Debt Campaign concerns the structure of South Africa’s mineral economy itself.</w:t>
      </w:r>
    </w:p>
    <w:p w14:paraId="078C0C0C" w14:textId="6740E308" w:rsidR="002119EB" w:rsidRPr="002119EB" w:rsidRDefault="002119EB" w:rsidP="002119EB">
      <w:pPr>
        <w:rPr>
          <w:rFonts w:ascii="Calibri" w:hAnsi="Calibri" w:cs="Calibri"/>
        </w:rPr>
      </w:pPr>
      <w:r w:rsidRPr="002119EB">
        <w:rPr>
          <w:rFonts w:ascii="Calibri" w:hAnsi="Calibri" w:cs="Calibri"/>
        </w:rPr>
        <w:t>After more than a century of extraction, Parliament must finally ask:</w:t>
      </w:r>
      <w:r w:rsidR="007F4A6D">
        <w:rPr>
          <w:rFonts w:ascii="Calibri" w:hAnsi="Calibri" w:cs="Calibri"/>
        </w:rPr>
        <w:t xml:space="preserve"> </w:t>
      </w:r>
      <w:r w:rsidRPr="002119EB">
        <w:rPr>
          <w:rFonts w:ascii="Calibri" w:hAnsi="Calibri" w:cs="Calibri"/>
          <w:b/>
          <w:bCs/>
        </w:rPr>
        <w:t>Who accumulated the wealth, who performed the labour, who received the profits, what environmental and social liabilities remain, what was built in the communities from which the resources came, and who is expected to carry the debt when capital moves on?</w:t>
      </w:r>
    </w:p>
    <w:p w14:paraId="0D95D351" w14:textId="7649FBD7" w:rsidR="002119EB" w:rsidRPr="002119EB" w:rsidRDefault="002119EB" w:rsidP="002119EB">
      <w:pPr>
        <w:rPr>
          <w:rFonts w:ascii="Calibri" w:hAnsi="Calibri" w:cs="Calibri"/>
        </w:rPr>
      </w:pPr>
      <w:r w:rsidRPr="002119EB">
        <w:rPr>
          <w:rFonts w:ascii="Calibri" w:hAnsi="Calibri" w:cs="Calibri"/>
        </w:rPr>
        <w:t xml:space="preserve">Tuesday’s presentation cannot answer </w:t>
      </w:r>
      <w:proofErr w:type="gramStart"/>
      <w:r w:rsidRPr="002119EB">
        <w:rPr>
          <w:rFonts w:ascii="Calibri" w:hAnsi="Calibri" w:cs="Calibri"/>
        </w:rPr>
        <w:t>all of</w:t>
      </w:r>
      <w:proofErr w:type="gramEnd"/>
      <w:r w:rsidRPr="002119EB">
        <w:rPr>
          <w:rFonts w:ascii="Calibri" w:hAnsi="Calibri" w:cs="Calibri"/>
        </w:rPr>
        <w:t xml:space="preserve"> those questions in two hours.</w:t>
      </w:r>
      <w:r w:rsidR="007F4A6D">
        <w:rPr>
          <w:rFonts w:ascii="Calibri" w:hAnsi="Calibri" w:cs="Calibri"/>
        </w:rPr>
        <w:t xml:space="preserve"> </w:t>
      </w:r>
      <w:r w:rsidRPr="002119EB">
        <w:rPr>
          <w:rFonts w:ascii="Calibri" w:hAnsi="Calibri" w:cs="Calibri"/>
        </w:rPr>
        <w:t>That is precisely the point.</w:t>
      </w:r>
      <w:r w:rsidR="007F4A6D">
        <w:rPr>
          <w:rFonts w:ascii="Calibri" w:hAnsi="Calibri" w:cs="Calibri"/>
        </w:rPr>
        <w:t xml:space="preserve"> </w:t>
      </w:r>
      <w:r w:rsidRPr="002119EB">
        <w:rPr>
          <w:rFonts w:ascii="Calibri" w:hAnsi="Calibri" w:cs="Calibri"/>
          <w:b/>
          <w:bCs/>
        </w:rPr>
        <w:t>The scale of the evidence before us demands a process equal to the problem, and the coalition will ask Parliament to establish that process.</w:t>
      </w:r>
    </w:p>
    <w:p w14:paraId="72388A85" w14:textId="77777777" w:rsidR="007F4A6D" w:rsidRDefault="007F4A6D" w:rsidP="002119EB">
      <w:pPr>
        <w:rPr>
          <w:rFonts w:ascii="Calibri" w:hAnsi="Calibri" w:cs="Calibri"/>
          <w:b/>
          <w:bCs/>
        </w:rPr>
      </w:pPr>
    </w:p>
    <w:p w14:paraId="47D88A31" w14:textId="0F4F59E6" w:rsidR="002119EB" w:rsidRPr="002119EB" w:rsidRDefault="002119EB" w:rsidP="002119EB">
      <w:pPr>
        <w:rPr>
          <w:rFonts w:ascii="Calibri" w:hAnsi="Calibri" w:cs="Calibri"/>
        </w:rPr>
      </w:pPr>
      <w:r w:rsidRPr="002119EB">
        <w:rPr>
          <w:rFonts w:ascii="Calibri" w:hAnsi="Calibri" w:cs="Calibri"/>
          <w:b/>
          <w:bCs/>
        </w:rPr>
        <w:t>Issued by participating members and partners of the 100 Year Debt Campaign, led by MACUA/WAMUA, following the coalition planning meeting of 24 August 2026.</w:t>
      </w:r>
    </w:p>
    <w:p w14:paraId="7D25F1BA" w14:textId="77777777" w:rsidR="002119EB" w:rsidRDefault="002119EB"/>
    <w:p w14:paraId="3730E400" w14:textId="7ED4C544" w:rsidR="007F4A6D" w:rsidRDefault="007F4A6D">
      <w:r>
        <w:t>For Media Enquiries:</w:t>
      </w:r>
    </w:p>
    <w:p w14:paraId="084A3DE5" w14:textId="77777777" w:rsidR="007F4A6D" w:rsidRDefault="007F4A6D"/>
    <w:p w14:paraId="4B425DFD" w14:textId="6FB290EA" w:rsidR="007F4A6D" w:rsidRDefault="007F4A6D">
      <w:r w:rsidRPr="0075011C">
        <w:rPr>
          <w:b/>
          <w:bCs/>
        </w:rPr>
        <w:t>MACUA</w:t>
      </w:r>
      <w:r>
        <w:t xml:space="preserve">: Sabelo Mnguni </w:t>
      </w:r>
      <w:r w:rsidR="0075011C">
        <w:t>– 083 563 8985</w:t>
      </w:r>
    </w:p>
    <w:p w14:paraId="13132322" w14:textId="7B108D59" w:rsidR="0075011C" w:rsidRDefault="0075011C">
      <w:proofErr w:type="gramStart"/>
      <w:r w:rsidRPr="0075011C">
        <w:rPr>
          <w:b/>
          <w:bCs/>
        </w:rPr>
        <w:t>Bench Marks</w:t>
      </w:r>
      <w:proofErr w:type="gramEnd"/>
      <w:r w:rsidRPr="0075011C">
        <w:rPr>
          <w:b/>
          <w:bCs/>
        </w:rPr>
        <w:t xml:space="preserve"> Foundation</w:t>
      </w:r>
      <w:r>
        <w:t xml:space="preserve">: Eric </w:t>
      </w:r>
      <w:proofErr w:type="spellStart"/>
      <w:r>
        <w:t>Mokuoa</w:t>
      </w:r>
      <w:proofErr w:type="spellEnd"/>
      <w:r>
        <w:t xml:space="preserve"> – 083 371 2947</w:t>
      </w:r>
    </w:p>
    <w:p w14:paraId="6851C3B8" w14:textId="0EAD472B" w:rsidR="0075011C" w:rsidRDefault="0075011C">
      <w:r w:rsidRPr="0075011C">
        <w:rPr>
          <w:b/>
          <w:bCs/>
        </w:rPr>
        <w:lastRenderedPageBreak/>
        <w:t>Centre for Applied Legal Studies</w:t>
      </w:r>
      <w:r>
        <w:t>: Robert Krause – 068 162 2590</w:t>
      </w:r>
    </w:p>
    <w:p w14:paraId="3487C5EE" w14:textId="1A1E11A0" w:rsidR="0075011C" w:rsidRDefault="0075011C">
      <w:r w:rsidRPr="0075011C">
        <w:rPr>
          <w:b/>
          <w:bCs/>
        </w:rPr>
        <w:t>Centre for Environmental Rights</w:t>
      </w:r>
      <w:r>
        <w:t xml:space="preserve">: </w:t>
      </w:r>
      <w:proofErr w:type="spellStart"/>
      <w:r>
        <w:t>Dimakatso</w:t>
      </w:r>
      <w:proofErr w:type="spellEnd"/>
      <w:r>
        <w:t xml:space="preserve"> </w:t>
      </w:r>
      <w:proofErr w:type="spellStart"/>
      <w:r>
        <w:t>Sefatsa</w:t>
      </w:r>
      <w:proofErr w:type="spellEnd"/>
      <w:r>
        <w:t xml:space="preserve"> – 079 421 95 42</w:t>
      </w:r>
    </w:p>
    <w:p w14:paraId="4CFF4F99" w14:textId="66E6877F" w:rsidR="0075011C" w:rsidRDefault="0075011C">
      <w:r w:rsidRPr="0075011C">
        <w:rPr>
          <w:b/>
          <w:bCs/>
        </w:rPr>
        <w:t>Lawyers for Human Rights</w:t>
      </w:r>
      <w:r>
        <w:t xml:space="preserve">: </w:t>
      </w:r>
      <w:proofErr w:type="spellStart"/>
      <w:r>
        <w:t>Phyllia</w:t>
      </w:r>
      <w:proofErr w:type="spellEnd"/>
      <w:r>
        <w:t xml:space="preserve"> </w:t>
      </w:r>
      <w:proofErr w:type="spellStart"/>
      <w:r>
        <w:t>Ngoatje</w:t>
      </w:r>
      <w:proofErr w:type="spellEnd"/>
      <w:r>
        <w:t xml:space="preserve"> – 071 362 9365</w:t>
      </w:r>
    </w:p>
    <w:p w14:paraId="0E7BFB25" w14:textId="2691173F" w:rsidR="0075011C" w:rsidRDefault="0075011C" w:rsidP="0075011C">
      <w:r w:rsidRPr="0075011C">
        <w:rPr>
          <w:b/>
          <w:bCs/>
        </w:rPr>
        <w:t>Just Share</w:t>
      </w:r>
      <w:r>
        <w:t xml:space="preserve">: </w:t>
      </w:r>
      <w:r w:rsidRPr="0075011C">
        <w:t>Kwanele Ngogela</w:t>
      </w:r>
      <w:r>
        <w:t xml:space="preserve"> – 063 385 5218</w:t>
      </w:r>
    </w:p>
    <w:p w14:paraId="4CD3A865" w14:textId="77777777" w:rsidR="0075011C" w:rsidRPr="0075011C" w:rsidRDefault="0075011C" w:rsidP="0075011C"/>
    <w:p w14:paraId="68BDCEA2" w14:textId="455E624E" w:rsidR="0075011C" w:rsidRDefault="0075011C"/>
    <w:p w14:paraId="70FE0983" w14:textId="77777777" w:rsidR="0075011C" w:rsidRDefault="0075011C"/>
    <w:p w14:paraId="762EDCAD" w14:textId="77777777" w:rsidR="007F4A6D" w:rsidRDefault="007F4A6D"/>
    <w:sectPr w:rsidR="007F4A6D">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39D0A" w14:textId="77777777" w:rsidR="00EA4B84" w:rsidRDefault="00EA4B84" w:rsidP="0098174A">
      <w:pPr>
        <w:spacing w:after="0" w:line="240" w:lineRule="auto"/>
      </w:pPr>
      <w:r>
        <w:separator/>
      </w:r>
    </w:p>
  </w:endnote>
  <w:endnote w:type="continuationSeparator" w:id="0">
    <w:p w14:paraId="55225597" w14:textId="77777777" w:rsidR="00EA4B84" w:rsidRDefault="00EA4B84" w:rsidP="00981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CDAE9" w14:textId="77777777" w:rsidR="0098174A" w:rsidRDefault="009817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A37DC" w14:textId="77777777" w:rsidR="0098174A" w:rsidRDefault="009817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2FD1" w14:textId="77777777" w:rsidR="0098174A" w:rsidRDefault="00981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DB7FD" w14:textId="77777777" w:rsidR="00EA4B84" w:rsidRDefault="00EA4B84" w:rsidP="0098174A">
      <w:pPr>
        <w:spacing w:after="0" w:line="240" w:lineRule="auto"/>
      </w:pPr>
      <w:r>
        <w:separator/>
      </w:r>
    </w:p>
  </w:footnote>
  <w:footnote w:type="continuationSeparator" w:id="0">
    <w:p w14:paraId="17D642BA" w14:textId="77777777" w:rsidR="00EA4B84" w:rsidRDefault="00EA4B84" w:rsidP="00981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41B7" w14:textId="0A29D91E" w:rsidR="0098174A" w:rsidRDefault="0098174A">
    <w:pPr>
      <w:pStyle w:val="Header"/>
    </w:pPr>
    <w:r>
      <w:rPr>
        <w:noProof/>
      </w:rPr>
      <w:pict w14:anchorId="027B1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002219" o:spid="_x0000_s1026" type="#_x0000_t75" style="position:absolute;margin-left:0;margin-top:0;width:451.1pt;height:108.4pt;z-index:-251657216;mso-position-horizontal:center;mso-position-horizontal-relative:margin;mso-position-vertical:center;mso-position-vertical-relative:margin" o:allowincell="f">
          <v:imagedata r:id="rId1" o:title="Screenshot 2026-08-24 130944"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FC1B" w14:textId="46D0A8C9" w:rsidR="0098174A" w:rsidRDefault="0098174A">
    <w:pPr>
      <w:pStyle w:val="Header"/>
    </w:pPr>
    <w:r>
      <w:rPr>
        <w:noProof/>
      </w:rPr>
      <w:pict w14:anchorId="4DE80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002220" o:spid="_x0000_s1027" type="#_x0000_t75" style="position:absolute;margin-left:0;margin-top:0;width:451.1pt;height:108.4pt;z-index:-251656192;mso-position-horizontal:center;mso-position-horizontal-relative:margin;mso-position-vertical:center;mso-position-vertical-relative:margin" o:allowincell="f">
          <v:imagedata r:id="rId1" o:title="Screenshot 2026-08-24 130944"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AAA30" w14:textId="10832CB6" w:rsidR="0098174A" w:rsidRDefault="0098174A">
    <w:pPr>
      <w:pStyle w:val="Header"/>
    </w:pPr>
    <w:r>
      <w:rPr>
        <w:noProof/>
      </w:rPr>
      <w:pict w14:anchorId="1356F6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002218" o:spid="_x0000_s1025" type="#_x0000_t75" style="position:absolute;margin-left:0;margin-top:0;width:451.1pt;height:108.4pt;z-index:-251658240;mso-position-horizontal:center;mso-position-horizontal-relative:margin;mso-position-vertical:center;mso-position-vertical-relative:margin" o:allowincell="f">
          <v:imagedata r:id="rId1" o:title="Screenshot 2026-08-24 130944"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9EB"/>
    <w:rsid w:val="002119EB"/>
    <w:rsid w:val="0075011C"/>
    <w:rsid w:val="007F4A6D"/>
    <w:rsid w:val="0098174A"/>
    <w:rsid w:val="00C53EED"/>
    <w:rsid w:val="00DC1553"/>
    <w:rsid w:val="00EA4B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EBCED"/>
  <w15:chartTrackingRefBased/>
  <w15:docId w15:val="{67F9A675-9C26-4EE8-898F-ABD3B395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9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9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9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9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9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9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9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9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9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9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9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9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9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9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9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9EB"/>
    <w:rPr>
      <w:rFonts w:eastAsiaTheme="majorEastAsia" w:cstheme="majorBidi"/>
      <w:color w:val="272727" w:themeColor="text1" w:themeTint="D8"/>
    </w:rPr>
  </w:style>
  <w:style w:type="paragraph" w:styleId="Title">
    <w:name w:val="Title"/>
    <w:basedOn w:val="Normal"/>
    <w:next w:val="Normal"/>
    <w:link w:val="TitleChar"/>
    <w:uiPriority w:val="10"/>
    <w:qFormat/>
    <w:rsid w:val="002119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9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9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9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9EB"/>
    <w:pPr>
      <w:spacing w:before="160"/>
      <w:jc w:val="center"/>
    </w:pPr>
    <w:rPr>
      <w:i/>
      <w:iCs/>
      <w:color w:val="404040" w:themeColor="text1" w:themeTint="BF"/>
    </w:rPr>
  </w:style>
  <w:style w:type="character" w:customStyle="1" w:styleId="QuoteChar">
    <w:name w:val="Quote Char"/>
    <w:basedOn w:val="DefaultParagraphFont"/>
    <w:link w:val="Quote"/>
    <w:uiPriority w:val="29"/>
    <w:rsid w:val="002119EB"/>
    <w:rPr>
      <w:i/>
      <w:iCs/>
      <w:color w:val="404040" w:themeColor="text1" w:themeTint="BF"/>
    </w:rPr>
  </w:style>
  <w:style w:type="paragraph" w:styleId="ListParagraph">
    <w:name w:val="List Paragraph"/>
    <w:basedOn w:val="Normal"/>
    <w:uiPriority w:val="34"/>
    <w:qFormat/>
    <w:rsid w:val="002119EB"/>
    <w:pPr>
      <w:ind w:left="720"/>
      <w:contextualSpacing/>
    </w:pPr>
  </w:style>
  <w:style w:type="character" w:styleId="IntenseEmphasis">
    <w:name w:val="Intense Emphasis"/>
    <w:basedOn w:val="DefaultParagraphFont"/>
    <w:uiPriority w:val="21"/>
    <w:qFormat/>
    <w:rsid w:val="002119EB"/>
    <w:rPr>
      <w:i/>
      <w:iCs/>
      <w:color w:val="0F4761" w:themeColor="accent1" w:themeShade="BF"/>
    </w:rPr>
  </w:style>
  <w:style w:type="paragraph" w:styleId="IntenseQuote">
    <w:name w:val="Intense Quote"/>
    <w:basedOn w:val="Normal"/>
    <w:next w:val="Normal"/>
    <w:link w:val="IntenseQuoteChar"/>
    <w:uiPriority w:val="30"/>
    <w:qFormat/>
    <w:rsid w:val="00211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9EB"/>
    <w:rPr>
      <w:i/>
      <w:iCs/>
      <w:color w:val="0F4761" w:themeColor="accent1" w:themeShade="BF"/>
    </w:rPr>
  </w:style>
  <w:style w:type="character" w:styleId="IntenseReference">
    <w:name w:val="Intense Reference"/>
    <w:basedOn w:val="DefaultParagraphFont"/>
    <w:uiPriority w:val="32"/>
    <w:qFormat/>
    <w:rsid w:val="002119EB"/>
    <w:rPr>
      <w:b/>
      <w:bCs/>
      <w:smallCaps/>
      <w:color w:val="0F4761" w:themeColor="accent1" w:themeShade="BF"/>
      <w:spacing w:val="5"/>
    </w:rPr>
  </w:style>
  <w:style w:type="paragraph" w:styleId="Header">
    <w:name w:val="header"/>
    <w:basedOn w:val="Normal"/>
    <w:link w:val="HeaderChar"/>
    <w:uiPriority w:val="99"/>
    <w:unhideWhenUsed/>
    <w:rsid w:val="009817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74A"/>
  </w:style>
  <w:style w:type="paragraph" w:styleId="Footer">
    <w:name w:val="footer"/>
    <w:basedOn w:val="Normal"/>
    <w:link w:val="FooterChar"/>
    <w:uiPriority w:val="99"/>
    <w:unhideWhenUsed/>
    <w:rsid w:val="009817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5.svg"/><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2115</Words>
  <Characters>13095</Characters>
  <Application>Microsoft Office Word</Application>
  <DocSecurity>0</DocSecurity>
  <Lines>201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Rutledge</dc:creator>
  <cp:keywords/>
  <dc:description/>
  <cp:lastModifiedBy>Christopher Rutledge</cp:lastModifiedBy>
  <cp:revision>1</cp:revision>
  <dcterms:created xsi:type="dcterms:W3CDTF">2026-08-24T10:27:00Z</dcterms:created>
  <dcterms:modified xsi:type="dcterms:W3CDTF">2026-08-24T11:11:00Z</dcterms:modified>
</cp:coreProperties>
</file>